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29"/>
        <w:gridCol w:w="3331"/>
      </w:tblGrid>
      <w:tr w:rsidR="00FD3613" w:rsidRPr="00326786">
        <w:trPr>
          <w:tblCellSpacing w:w="0" w:type="dxa"/>
        </w:trPr>
        <w:tc>
          <w:tcPr>
            <w:tcW w:w="0" w:type="auto"/>
            <w:vAlign w:val="center"/>
          </w:tcPr>
          <w:p w:rsidR="00FD3613" w:rsidRPr="00326786" w:rsidRDefault="0061511E">
            <w:pPr>
              <w:rPr>
                <w:lang w:val="sr-Latn-C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77720" cy="461010"/>
                  <wp:effectExtent l="19050" t="0" r="0" b="0"/>
                  <wp:docPr id="3" name="Picture 3" descr="Logo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D3613" w:rsidRPr="00326786" w:rsidRDefault="0061511E">
            <w:pPr>
              <w:jc w:val="right"/>
              <w:rPr>
                <w:lang w:val="sr-Latn-C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36345" cy="1141095"/>
                  <wp:effectExtent l="19050" t="0" r="1905" b="0"/>
                  <wp:docPr id="4" name="Picture 4" descr="Logo130X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130X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613" w:rsidRPr="00326786" w:rsidRDefault="00FD3613" w:rsidP="00FD3613">
      <w:pPr>
        <w:rPr>
          <w:lang w:val="sr-Latn-CS"/>
        </w:rPr>
      </w:pPr>
      <w:r w:rsidRPr="00326786">
        <w:rPr>
          <w:lang w:val="sr-Latn-CS"/>
        </w:rPr>
        <w:pict>
          <v:rect id="_x0000_i1025" style="width:0;height:.75pt" o:hralign="center" o:hrstd="t" o:hr="t" fillcolor="#aca899" stroked="f"/>
        </w:pict>
      </w:r>
    </w:p>
    <w:p w:rsidR="00FD3613" w:rsidRPr="00326786" w:rsidRDefault="00671503" w:rsidP="00FD3613">
      <w:pPr>
        <w:pStyle w:val="NormalWeb"/>
        <w:rPr>
          <w:lang w:val="sr-Latn-CS"/>
        </w:rPr>
      </w:pPr>
      <w:r>
        <w:rPr>
          <w:color w:val="FF0000"/>
          <w:lang w:val="sr-Latn-CS"/>
        </w:rPr>
        <w:t>RADNA VERZIJA</w:t>
      </w:r>
    </w:p>
    <w:p w:rsidR="00FD3613" w:rsidRPr="00326786" w:rsidRDefault="00326786" w:rsidP="00FD3613">
      <w:pPr>
        <w:pStyle w:val="NormalWeb"/>
        <w:rPr>
          <w:lang w:val="sr-Latn-CS"/>
        </w:rPr>
      </w:pPr>
      <w:r w:rsidRPr="00326786">
        <w:rPr>
          <w:b/>
          <w:bCs/>
          <w:lang w:val="sr-Latn-CS"/>
        </w:rPr>
        <w:t>Zaštita insajdera</w:t>
      </w:r>
    </w:p>
    <w:p w:rsidR="00FD3613" w:rsidRPr="00326786" w:rsidRDefault="00326786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Rezolucija </w:t>
      </w:r>
      <w:r w:rsidR="00FD3613" w:rsidRPr="00326786">
        <w:rPr>
          <w:lang w:val="sr-Latn-CS"/>
        </w:rPr>
        <w:t>1729 (2010)</w:t>
      </w:r>
      <w:bookmarkStart w:id="0" w:name="P15_92"/>
      <w:r w:rsidR="00FD3613" w:rsidRPr="00326786">
        <w:rPr>
          <w:vertAlign w:val="superscript"/>
          <w:lang w:val="sr-Latn-CS"/>
        </w:rPr>
        <w:fldChar w:fldCharType="begin"/>
      </w:r>
      <w:r w:rsidR="00FD3613" w:rsidRPr="00326786">
        <w:rPr>
          <w:vertAlign w:val="superscript"/>
          <w:lang w:val="sr-Latn-CS"/>
        </w:rPr>
        <w:instrText xml:space="preserve"> HYPERLINK "http://assembly.coe.int/Main.asp?link=/Documents/AdoptedText/ta10/ERES1729.htm" \l "P15_91" </w:instrText>
      </w:r>
      <w:r w:rsidR="00FD3613" w:rsidRPr="00326786">
        <w:rPr>
          <w:vertAlign w:val="superscript"/>
          <w:lang w:val="sr-Latn-CS"/>
        </w:rPr>
        <w:fldChar w:fldCharType="separate"/>
      </w:r>
      <w:r w:rsidR="00FD3613" w:rsidRPr="00326786">
        <w:rPr>
          <w:rStyle w:val="Hyperlink"/>
          <w:vertAlign w:val="superscript"/>
          <w:lang w:val="sr-Latn-CS"/>
        </w:rPr>
        <w:t>1</w:t>
      </w:r>
      <w:r w:rsidR="00FD3613" w:rsidRPr="00326786">
        <w:rPr>
          <w:vertAlign w:val="superscript"/>
          <w:lang w:val="sr-Latn-CS"/>
        </w:rPr>
        <w:fldChar w:fldCharType="end"/>
      </w:r>
      <w:bookmarkEnd w:id="0"/>
    </w:p>
    <w:p w:rsidR="00FD3613" w:rsidRPr="00326786" w:rsidRDefault="00FD3613" w:rsidP="00FD3613">
      <w:pPr>
        <w:rPr>
          <w:lang w:val="sr-Latn-CS"/>
        </w:rPr>
      </w:pPr>
      <w:r w:rsidRPr="00326786">
        <w:rPr>
          <w:lang w:val="sr-Latn-CS"/>
        </w:rPr>
        <w:pict>
          <v:rect id="_x0000_i1026" style="width:0;height:.75pt" o:hralign="center" o:hrstd="t" o:hr="t" fillcolor="#aca899" stroked="f"/>
        </w:pic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1.       </w:t>
      </w:r>
      <w:r w:rsidR="00326786">
        <w:rPr>
          <w:lang w:val="sr-Latn-CS"/>
        </w:rPr>
        <w:t xml:space="preserve">Parlamentarna skupština </w:t>
      </w:r>
      <w:r w:rsidR="00B07A17">
        <w:rPr>
          <w:lang w:val="sr-Latn-CS"/>
        </w:rPr>
        <w:t>uviđa</w:t>
      </w:r>
      <w:r w:rsidR="00B9174B">
        <w:rPr>
          <w:lang w:val="sr-Latn-CS"/>
        </w:rPr>
        <w:t xml:space="preserve"> značaj „duvanja u </w:t>
      </w:r>
      <w:r w:rsidR="00001CFA">
        <w:rPr>
          <w:lang w:val="sr-Latn-CS"/>
        </w:rPr>
        <w:t>pištaljku</w:t>
      </w:r>
      <w:r w:rsidR="00B9174B">
        <w:rPr>
          <w:lang w:val="sr-Latn-CS"/>
        </w:rPr>
        <w:t xml:space="preserve">“ </w:t>
      </w:r>
      <w:r w:rsidR="00B07A17">
        <w:rPr>
          <w:lang w:val="sr-Latn-CS"/>
        </w:rPr>
        <w:t>–</w:t>
      </w:r>
      <w:r w:rsidR="00B9174B">
        <w:rPr>
          <w:lang w:val="sr-Latn-CS"/>
        </w:rPr>
        <w:t xml:space="preserve"> </w:t>
      </w:r>
      <w:r w:rsidR="00B07A17">
        <w:rPr>
          <w:lang w:val="sr-Latn-CS"/>
        </w:rPr>
        <w:t xml:space="preserve">zabrinutih pojedinaca koji se oglašavaju da bi sprečili </w:t>
      </w:r>
      <w:r w:rsidR="00F21701">
        <w:rPr>
          <w:lang w:val="sr-Latn-CS"/>
        </w:rPr>
        <w:t>nedela</w:t>
      </w:r>
      <w:r w:rsidR="00B07A17">
        <w:rPr>
          <w:lang w:val="sr-Latn-CS"/>
        </w:rPr>
        <w:t xml:space="preserve"> koj</w:t>
      </w:r>
      <w:r w:rsidR="00F21701">
        <w:rPr>
          <w:lang w:val="sr-Latn-CS"/>
        </w:rPr>
        <w:t>a</w:t>
      </w:r>
      <w:r w:rsidR="00B07A17">
        <w:rPr>
          <w:lang w:val="sr-Latn-CS"/>
        </w:rPr>
        <w:t xml:space="preserve"> druga ljudska bića izlaž</w:t>
      </w:r>
      <w:r w:rsidR="00F21701">
        <w:rPr>
          <w:lang w:val="sr-Latn-CS"/>
        </w:rPr>
        <w:t>u</w:t>
      </w:r>
      <w:r w:rsidR="00B07A17">
        <w:rPr>
          <w:lang w:val="sr-Latn-CS"/>
        </w:rPr>
        <w:t xml:space="preserve"> opasnosti</w:t>
      </w:r>
      <w:r w:rsidR="00B9174B" w:rsidRPr="00326786">
        <w:rPr>
          <w:lang w:val="sr-Latn-CS"/>
        </w:rPr>
        <w:t xml:space="preserve"> </w:t>
      </w:r>
      <w:r w:rsidR="00B07A17">
        <w:rPr>
          <w:lang w:val="sr-Latn-CS"/>
        </w:rPr>
        <w:t>–</w:t>
      </w:r>
      <w:r w:rsidR="00B9174B">
        <w:rPr>
          <w:lang w:val="sr-Latn-CS"/>
        </w:rPr>
        <w:t xml:space="preserve"> kao </w:t>
      </w:r>
      <w:r w:rsidR="00B07A17">
        <w:rPr>
          <w:lang w:val="sr-Latn-CS"/>
        </w:rPr>
        <w:t xml:space="preserve">prilike </w:t>
      </w:r>
      <w:r w:rsidR="00B9174B">
        <w:rPr>
          <w:lang w:val="sr-Latn-CS"/>
        </w:rPr>
        <w:t xml:space="preserve">za jačanje </w:t>
      </w:r>
      <w:r w:rsidR="00354FB4">
        <w:rPr>
          <w:lang w:val="sr-Latn-CS"/>
        </w:rPr>
        <w:t xml:space="preserve">odgovornosti i </w:t>
      </w:r>
      <w:r w:rsidR="00B07A17">
        <w:rPr>
          <w:lang w:val="sr-Latn-CS"/>
        </w:rPr>
        <w:t>intenziviranje</w:t>
      </w:r>
      <w:r w:rsidR="00354FB4">
        <w:rPr>
          <w:lang w:val="sr-Latn-CS"/>
        </w:rPr>
        <w:t xml:space="preserve"> borbe protiv korupcije i </w:t>
      </w:r>
      <w:r w:rsidR="00455D9D">
        <w:rPr>
          <w:lang w:val="sr-Latn-CS"/>
        </w:rPr>
        <w:t xml:space="preserve">lošeg </w:t>
      </w:r>
      <w:r w:rsidR="00B07A17">
        <w:rPr>
          <w:lang w:val="sr-Latn-CS"/>
        </w:rPr>
        <w:t>upravljanja, kako u javnom, tako i u privatnom sektoru</w:t>
      </w:r>
      <w:r w:rsidR="00455D9D">
        <w:rPr>
          <w:lang w:val="sr-Latn-CS"/>
        </w:rPr>
        <w:t xml:space="preserve">.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2.       </w:t>
      </w:r>
      <w:r w:rsidR="00F31F6E">
        <w:rPr>
          <w:lang w:val="sr-Latn-CS"/>
        </w:rPr>
        <w:t xml:space="preserve">Potencijalne insajdere </w:t>
      </w:r>
      <w:r w:rsidR="00B07A17">
        <w:rPr>
          <w:lang w:val="sr-Latn-CS"/>
        </w:rPr>
        <w:t>od delovanja često odvraća</w:t>
      </w:r>
      <w:r w:rsidR="00F31F6E">
        <w:rPr>
          <w:lang w:val="sr-Latn-CS"/>
        </w:rPr>
        <w:t xml:space="preserve"> strah od </w:t>
      </w:r>
      <w:r w:rsidR="00F31F6E" w:rsidRPr="00B07A17">
        <w:rPr>
          <w:lang w:val="sr-Latn-CS"/>
        </w:rPr>
        <w:t>odmazde</w:t>
      </w:r>
      <w:r w:rsidR="00F31F6E">
        <w:rPr>
          <w:lang w:val="sr-Latn-CS"/>
        </w:rPr>
        <w:t xml:space="preserve"> ili </w:t>
      </w:r>
      <w:r w:rsidR="00B07A17">
        <w:rPr>
          <w:lang w:val="sr-Latn-CS"/>
        </w:rPr>
        <w:t xml:space="preserve">izostanak daljih aktivnosti </w:t>
      </w:r>
      <w:r w:rsidR="00F31F6E">
        <w:rPr>
          <w:lang w:val="sr-Latn-CS"/>
        </w:rPr>
        <w:t>nakon njihovih upozorenja</w:t>
      </w:r>
      <w:r w:rsidR="00B07A17">
        <w:rPr>
          <w:lang w:val="sr-Latn-CS"/>
        </w:rPr>
        <w:t>,</w:t>
      </w:r>
      <w:r w:rsidR="00F31F6E">
        <w:rPr>
          <w:lang w:val="sr-Latn-CS"/>
        </w:rPr>
        <w:t xml:space="preserve"> </w:t>
      </w:r>
      <w:r w:rsidR="00B07A17">
        <w:rPr>
          <w:lang w:val="sr-Latn-CS"/>
        </w:rPr>
        <w:t xml:space="preserve">što direktno šteti interesu javnosti vezanom za </w:t>
      </w:r>
      <w:r w:rsidR="00F31F6E">
        <w:rPr>
          <w:lang w:val="sr-Latn-CS"/>
        </w:rPr>
        <w:t>efikasno rukovođenj</w:t>
      </w:r>
      <w:r w:rsidR="00B07A17">
        <w:rPr>
          <w:lang w:val="sr-Latn-CS"/>
        </w:rPr>
        <w:t>e</w:t>
      </w:r>
      <w:r w:rsidR="00F31F6E">
        <w:rPr>
          <w:lang w:val="sr-Latn-CS"/>
        </w:rPr>
        <w:t xml:space="preserve"> i odgovornost u </w:t>
      </w:r>
      <w:r w:rsidR="00B07A17">
        <w:rPr>
          <w:lang w:val="sr-Latn-CS"/>
        </w:rPr>
        <w:t>obavljanju javnih poslova</w:t>
      </w:r>
      <w:r w:rsidR="00F31F6E" w:rsidRPr="00326786">
        <w:rPr>
          <w:lang w:val="sr-Latn-CS"/>
        </w:rPr>
        <w:t xml:space="preserve"> </w:t>
      </w:r>
      <w:r w:rsidR="00F31F6E">
        <w:rPr>
          <w:lang w:val="sr-Latn-CS"/>
        </w:rPr>
        <w:t>i privatnom poslovanju.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3.       </w:t>
      </w:r>
      <w:r w:rsidR="00F31F6E">
        <w:rPr>
          <w:lang w:val="sr-Latn-CS"/>
        </w:rPr>
        <w:t xml:space="preserve">Niz </w:t>
      </w:r>
      <w:r w:rsidR="00B07A17">
        <w:rPr>
          <w:lang w:val="sr-Latn-CS"/>
        </w:rPr>
        <w:t>katastrofa</w:t>
      </w:r>
      <w:r w:rsidR="00F31F6E">
        <w:rPr>
          <w:lang w:val="sr-Latn-CS"/>
        </w:rPr>
        <w:t xml:space="preserve"> koje su mogle da budu izbegnute </w:t>
      </w:r>
      <w:r w:rsidR="00A26DC8">
        <w:rPr>
          <w:lang w:val="sr-Latn-CS"/>
        </w:rPr>
        <w:t xml:space="preserve">navele su Ujedinjeno Kraljevstvo da donese </w:t>
      </w:r>
      <w:r w:rsidR="00B07A17">
        <w:rPr>
          <w:lang w:val="sr-Latn-CS"/>
        </w:rPr>
        <w:t>napredne</w:t>
      </w:r>
      <w:r w:rsidR="00A26DC8">
        <w:rPr>
          <w:lang w:val="sr-Latn-CS"/>
        </w:rPr>
        <w:t xml:space="preserve"> </w:t>
      </w:r>
      <w:r w:rsidR="00B07A17">
        <w:rPr>
          <w:lang w:val="sr-Latn-CS"/>
        </w:rPr>
        <w:t>propise</w:t>
      </w:r>
      <w:r w:rsidR="00A26DC8">
        <w:rPr>
          <w:lang w:val="sr-Latn-CS"/>
        </w:rPr>
        <w:t xml:space="preserve"> za zaštitu insajdera koji </w:t>
      </w:r>
      <w:r w:rsidR="00B07A17">
        <w:rPr>
          <w:lang w:val="sr-Latn-CS"/>
        </w:rPr>
        <w:t xml:space="preserve">ustaju u odbranu </w:t>
      </w:r>
      <w:r w:rsidR="00A26DC8">
        <w:rPr>
          <w:lang w:val="sr-Latn-CS"/>
        </w:rPr>
        <w:t>javnog interesa. Sličn</w:t>
      </w:r>
      <w:r w:rsidR="00B07A17">
        <w:rPr>
          <w:lang w:val="sr-Latn-CS"/>
        </w:rPr>
        <w:t>i</w:t>
      </w:r>
      <w:r w:rsidR="00A26DC8">
        <w:rPr>
          <w:lang w:val="sr-Latn-CS"/>
        </w:rPr>
        <w:t xml:space="preserve"> </w:t>
      </w:r>
      <w:r w:rsidR="00B07A17">
        <w:rPr>
          <w:lang w:val="sr-Latn-CS"/>
        </w:rPr>
        <w:t xml:space="preserve">propisi se već duži niz godina primenjuju u Sjedinjenim Američkim Državama i rezultati njihove primene su u globalu </w:t>
      </w:r>
      <w:r w:rsidR="00A26DC8">
        <w:rPr>
          <w:lang w:val="sr-Latn-CS"/>
        </w:rPr>
        <w:t>zadovoljavajući.</w:t>
      </w:r>
      <w:r w:rsidRPr="00326786">
        <w:rPr>
          <w:lang w:val="sr-Latn-CS"/>
        </w:rPr>
        <w:t xml:space="preserve">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4.       </w:t>
      </w:r>
      <w:r w:rsidR="00A26DC8">
        <w:rPr>
          <w:lang w:val="sr-Latn-CS"/>
        </w:rPr>
        <w:t>Većina država</w:t>
      </w:r>
      <w:r w:rsidR="00B07A17">
        <w:rPr>
          <w:lang w:val="sr-Latn-CS"/>
        </w:rPr>
        <w:t xml:space="preserve"> </w:t>
      </w:r>
      <w:r w:rsidR="00A26DC8">
        <w:rPr>
          <w:lang w:val="sr-Latn-CS"/>
        </w:rPr>
        <w:t xml:space="preserve">članica Saveta Evrope nema sveobuhvatne zakone za zaštitu insajdera, </w:t>
      </w:r>
      <w:r w:rsidR="00B07A17">
        <w:rPr>
          <w:lang w:val="sr-Latn-CS"/>
        </w:rPr>
        <w:t>iako</w:t>
      </w:r>
      <w:r w:rsidR="00A26DC8">
        <w:rPr>
          <w:lang w:val="sr-Latn-CS"/>
        </w:rPr>
        <w:t xml:space="preserve"> mnoge </w:t>
      </w:r>
      <w:r w:rsidR="00B07A17">
        <w:rPr>
          <w:lang w:val="sr-Latn-CS"/>
        </w:rPr>
        <w:t xml:space="preserve">od njih </w:t>
      </w:r>
      <w:r w:rsidR="00A26DC8">
        <w:rPr>
          <w:lang w:val="sr-Latn-CS"/>
        </w:rPr>
        <w:t xml:space="preserve">imaju </w:t>
      </w:r>
      <w:r w:rsidR="00B07A17">
        <w:rPr>
          <w:lang w:val="sr-Latn-CS"/>
        </w:rPr>
        <w:t xml:space="preserve">odredbe </w:t>
      </w:r>
      <w:r w:rsidR="00A26DC8">
        <w:rPr>
          <w:lang w:val="sr-Latn-CS"/>
        </w:rPr>
        <w:t>koj</w:t>
      </w:r>
      <w:r w:rsidR="00B07A17">
        <w:rPr>
          <w:lang w:val="sr-Latn-CS"/>
        </w:rPr>
        <w:t>e</w:t>
      </w:r>
      <w:r w:rsidR="00A26DC8">
        <w:rPr>
          <w:lang w:val="sr-Latn-CS"/>
        </w:rPr>
        <w:t xml:space="preserve"> </w:t>
      </w:r>
      <w:r w:rsidR="00B07A17">
        <w:rPr>
          <w:lang w:val="sr-Latn-CS"/>
        </w:rPr>
        <w:t>se odnose</w:t>
      </w:r>
      <w:r w:rsidR="00A26DC8">
        <w:rPr>
          <w:lang w:val="sr-Latn-CS"/>
        </w:rPr>
        <w:t xml:space="preserve"> </w:t>
      </w:r>
      <w:r w:rsidR="00B07A17">
        <w:rPr>
          <w:lang w:val="sr-Latn-CS"/>
        </w:rPr>
        <w:t xml:space="preserve">na </w:t>
      </w:r>
      <w:r w:rsidR="00A26DC8">
        <w:rPr>
          <w:lang w:val="sr-Latn-CS"/>
        </w:rPr>
        <w:t xml:space="preserve">različite aspekte „duvanja u </w:t>
      </w:r>
      <w:r w:rsidR="00001CFA">
        <w:rPr>
          <w:lang w:val="sr-Latn-CS"/>
        </w:rPr>
        <w:t>pištaljku</w:t>
      </w:r>
      <w:r w:rsidR="00A26DC8">
        <w:rPr>
          <w:lang w:val="sr-Latn-CS"/>
        </w:rPr>
        <w:t xml:space="preserve">“ u zakonima koijma se uređuju </w:t>
      </w:r>
      <w:r w:rsidR="00A26DC8" w:rsidRPr="00B07A17">
        <w:rPr>
          <w:lang w:val="sr-Latn-CS"/>
        </w:rPr>
        <w:t>radni odnosi</w:t>
      </w:r>
      <w:r w:rsidR="00B07A17">
        <w:rPr>
          <w:lang w:val="sr-Latn-CS"/>
        </w:rPr>
        <w:t>, krivični postupak, rad sredstava javnog informisanja</w:t>
      </w:r>
      <w:r w:rsidR="00A26DC8">
        <w:rPr>
          <w:lang w:val="sr-Latn-CS"/>
        </w:rPr>
        <w:t xml:space="preserve"> i konkretne mere za borbu protiv korupcije.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5.       </w:t>
      </w:r>
      <w:r w:rsidR="008D0DF1">
        <w:rPr>
          <w:lang w:val="sr-Latn-CS"/>
        </w:rPr>
        <w:t xml:space="preserve">„Duvanje u </w:t>
      </w:r>
      <w:r w:rsidR="00001CFA">
        <w:rPr>
          <w:lang w:val="sr-Latn-CS"/>
        </w:rPr>
        <w:t>pištaljku</w:t>
      </w:r>
      <w:r w:rsidR="008D0DF1">
        <w:rPr>
          <w:lang w:val="sr-Latn-CS"/>
        </w:rPr>
        <w:t xml:space="preserve">“ je oduvek zahtevalo hrabrost i odlučnost. Međutim, insajderima treba dati </w:t>
      </w:r>
      <w:r w:rsidR="008A1BA8">
        <w:rPr>
          <w:lang w:val="sr-Latn-CS"/>
        </w:rPr>
        <w:t>barem</w:t>
      </w:r>
      <w:r w:rsidR="008D0DF1">
        <w:rPr>
          <w:lang w:val="sr-Latn-CS"/>
        </w:rPr>
        <w:t xml:space="preserve"> </w:t>
      </w:r>
      <w:r w:rsidR="00981989">
        <w:rPr>
          <w:lang w:val="sr-Latn-CS"/>
        </w:rPr>
        <w:t>minimalnu šansu</w:t>
      </w:r>
      <w:r w:rsidR="008D0DF1">
        <w:rPr>
          <w:lang w:val="sr-Latn-CS"/>
        </w:rPr>
        <w:t xml:space="preserve"> </w:t>
      </w:r>
      <w:r w:rsidR="008A1BA8">
        <w:rPr>
          <w:lang w:val="sr-Latn-CS"/>
        </w:rPr>
        <w:t>da, makar i uz borbu, mogu da iznesu upozorenja bez rizika za sopstvenu egzistenciju i egzistenciju svoje porodice</w:t>
      </w:r>
      <w:r w:rsidRPr="00326786">
        <w:rPr>
          <w:lang w:val="sr-Latn-CS"/>
        </w:rPr>
        <w:t xml:space="preserve">. </w:t>
      </w:r>
      <w:r w:rsidR="008D0DF1">
        <w:rPr>
          <w:lang w:val="sr-Latn-CS"/>
        </w:rPr>
        <w:t>Relevantno zakonodavstvo</w:t>
      </w:r>
      <w:r w:rsidR="006721D0">
        <w:rPr>
          <w:lang w:val="sr-Latn-CS"/>
        </w:rPr>
        <w:t xml:space="preserve"> </w:t>
      </w:r>
      <w:r w:rsidR="008D0DF1">
        <w:rPr>
          <w:lang w:val="sr-Latn-CS"/>
        </w:rPr>
        <w:t xml:space="preserve">mora pre svega da pruži bezbednu alternativu za ćutanje, a da </w:t>
      </w:r>
      <w:r w:rsidR="00DE5842">
        <w:rPr>
          <w:lang w:val="sr-Latn-CS"/>
        </w:rPr>
        <w:t xml:space="preserve">pri tom ne stvori „štit od </w:t>
      </w:r>
      <w:r w:rsidR="008A1BA8">
        <w:rPr>
          <w:lang w:val="sr-Latn-CS"/>
        </w:rPr>
        <w:t>kartona</w:t>
      </w:r>
      <w:r w:rsidR="00DE5842">
        <w:rPr>
          <w:lang w:val="sr-Latn-CS"/>
        </w:rPr>
        <w:t xml:space="preserve">” oko </w:t>
      </w:r>
      <w:r w:rsidR="008D0DF1">
        <w:rPr>
          <w:lang w:val="sr-Latn-CS"/>
        </w:rPr>
        <w:t>insajder</w:t>
      </w:r>
      <w:r w:rsidR="00DE5842">
        <w:rPr>
          <w:lang w:val="sr-Latn-CS"/>
        </w:rPr>
        <w:t>a,</w:t>
      </w:r>
      <w:r w:rsidR="008D0DF1">
        <w:rPr>
          <w:lang w:val="sr-Latn-CS"/>
        </w:rPr>
        <w:t xml:space="preserve"> koji bi ih zarobio </w:t>
      </w:r>
      <w:r w:rsidR="00DE5842">
        <w:rPr>
          <w:lang w:val="sr-Latn-CS"/>
        </w:rPr>
        <w:t xml:space="preserve">dajući im </w:t>
      </w:r>
      <w:r w:rsidR="008D0DF1">
        <w:rPr>
          <w:lang w:val="sr-Latn-CS"/>
        </w:rPr>
        <w:t>lažan osećaj bezbednosti.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6.       </w:t>
      </w:r>
      <w:r w:rsidR="006721D0">
        <w:rPr>
          <w:lang w:val="sr-Latn-CS"/>
        </w:rPr>
        <w:t xml:space="preserve">Skupština poziva sve države-članice da </w:t>
      </w:r>
      <w:r w:rsidR="00DE5842">
        <w:rPr>
          <w:lang w:val="sr-Latn-CS"/>
        </w:rPr>
        <w:t>revidiraju svoje zakonodavne propise</w:t>
      </w:r>
      <w:r w:rsidR="006721D0">
        <w:rPr>
          <w:lang w:val="sr-Latn-CS"/>
        </w:rPr>
        <w:t xml:space="preserve"> o zaštiti insajdera imajući u vidu sledeće </w:t>
      </w:r>
      <w:r w:rsidR="00616DD7">
        <w:rPr>
          <w:lang w:val="sr-Latn-CS"/>
        </w:rPr>
        <w:t>rukovodeće</w:t>
      </w:r>
      <w:r w:rsidR="006721D0">
        <w:rPr>
          <w:lang w:val="sr-Latn-CS"/>
        </w:rPr>
        <w:t xml:space="preserve"> principe: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lastRenderedPageBreak/>
        <w:t>6.1.      </w:t>
      </w:r>
      <w:r w:rsidR="006721D0">
        <w:rPr>
          <w:lang w:val="sr-Latn-CS"/>
        </w:rPr>
        <w:t xml:space="preserve">Zakonodavstvo o „duvanju u </w:t>
      </w:r>
      <w:r w:rsidR="00001CFA">
        <w:rPr>
          <w:lang w:val="sr-Latn-CS"/>
        </w:rPr>
        <w:t>pištaljku</w:t>
      </w:r>
      <w:r w:rsidR="006721D0">
        <w:rPr>
          <w:lang w:val="sr-Latn-CS"/>
        </w:rPr>
        <w:t xml:space="preserve">“ </w:t>
      </w:r>
      <w:r w:rsidR="00DE5842">
        <w:rPr>
          <w:lang w:val="sr-Latn-CS"/>
        </w:rPr>
        <w:t>bi moralo</w:t>
      </w:r>
      <w:r w:rsidR="006721D0">
        <w:rPr>
          <w:lang w:val="sr-Latn-CS"/>
        </w:rPr>
        <w:t xml:space="preserve"> da bude sveobuhvatno:</w:t>
      </w:r>
      <w:r w:rsidRPr="00326786">
        <w:rPr>
          <w:lang w:val="sr-Latn-CS"/>
        </w:rPr>
        <w:t xml:space="preserve">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6.1.1.        </w:t>
      </w:r>
      <w:r w:rsidR="006721D0">
        <w:rPr>
          <w:lang w:val="sr-Latn-CS"/>
        </w:rPr>
        <w:t xml:space="preserve">Definicija zaštićenih razotkrivanja treba da uključuje sva upozorenja data u dobroj veri o različitim vrstama nezakonitog postupanja, uključujući i sva ozbiljna kršenja ljudskih prava </w:t>
      </w:r>
      <w:r w:rsidR="000E51AB">
        <w:rPr>
          <w:lang w:val="sr-Latn-CS"/>
        </w:rPr>
        <w:t xml:space="preserve">koja </w:t>
      </w:r>
      <w:r w:rsidR="00DE5842">
        <w:rPr>
          <w:lang w:val="sr-Latn-CS"/>
        </w:rPr>
        <w:t xml:space="preserve">ugrožavaju ili </w:t>
      </w:r>
      <w:r w:rsidR="000E51AB">
        <w:rPr>
          <w:lang w:val="sr-Latn-CS"/>
        </w:rPr>
        <w:t>utiču na život, zdravlje, slobodu ili bilo koji drugi legitim</w:t>
      </w:r>
      <w:r w:rsidR="00DE5842">
        <w:rPr>
          <w:lang w:val="sr-Latn-CS"/>
        </w:rPr>
        <w:t>an</w:t>
      </w:r>
      <w:r w:rsidR="000E51AB">
        <w:rPr>
          <w:lang w:val="sr-Latn-CS"/>
        </w:rPr>
        <w:t xml:space="preserve"> interes pojedinaca kao </w:t>
      </w:r>
      <w:r w:rsidR="00DE5842">
        <w:rPr>
          <w:lang w:val="sr-Latn-CS"/>
        </w:rPr>
        <w:t xml:space="preserve">subjekata </w:t>
      </w:r>
      <w:r w:rsidR="00794E19">
        <w:rPr>
          <w:lang w:val="sr-Latn-CS"/>
        </w:rPr>
        <w:t>državne uprave</w:t>
      </w:r>
      <w:r w:rsidR="000E51AB">
        <w:rPr>
          <w:lang w:val="sr-Latn-CS"/>
        </w:rPr>
        <w:t xml:space="preserve"> ili poreskih obveznika, </w:t>
      </w:r>
      <w:r w:rsidR="00DE5842">
        <w:rPr>
          <w:lang w:val="sr-Latn-CS"/>
        </w:rPr>
        <w:t xml:space="preserve">odnosno </w:t>
      </w:r>
      <w:r w:rsidR="000E51AB">
        <w:rPr>
          <w:lang w:val="sr-Latn-CS"/>
        </w:rPr>
        <w:t>kao akcionara, radnika ili klijenata privatnih kompanija.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6.1.2.       </w:t>
      </w:r>
      <w:r w:rsidR="00DE5842">
        <w:rPr>
          <w:lang w:val="sr-Latn-CS"/>
        </w:rPr>
        <w:t>Stoga</w:t>
      </w:r>
      <w:r w:rsidR="000E51AB">
        <w:rPr>
          <w:lang w:val="sr-Latn-CS"/>
        </w:rPr>
        <w:t xml:space="preserve"> zakonodavstvo treba da </w:t>
      </w:r>
      <w:r w:rsidR="00DE5842">
        <w:rPr>
          <w:lang w:val="sr-Latn-CS"/>
        </w:rPr>
        <w:t xml:space="preserve">se odnosi i na </w:t>
      </w:r>
      <w:r w:rsidR="000E51AB">
        <w:rPr>
          <w:lang w:val="sr-Latn-CS"/>
        </w:rPr>
        <w:t xml:space="preserve">insajdere iz javnog i </w:t>
      </w:r>
      <w:r w:rsidR="00DE5842">
        <w:rPr>
          <w:lang w:val="sr-Latn-CS"/>
        </w:rPr>
        <w:t xml:space="preserve">na insajdere </w:t>
      </w:r>
      <w:r w:rsidR="000E51AB">
        <w:rPr>
          <w:lang w:val="sr-Latn-CS"/>
        </w:rPr>
        <w:t xml:space="preserve">iz privatnog sektora, uključujući i pripadnike oružanih snaga i </w:t>
      </w:r>
      <w:r w:rsidR="00DE5842">
        <w:rPr>
          <w:lang w:val="sr-Latn-CS"/>
        </w:rPr>
        <w:t>specijalnih</w:t>
      </w:r>
      <w:r w:rsidR="000E51AB">
        <w:rPr>
          <w:lang w:val="sr-Latn-CS"/>
        </w:rPr>
        <w:t xml:space="preserve"> službi, i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>6.1.3.      </w:t>
      </w:r>
      <w:r w:rsidR="000E51AB">
        <w:rPr>
          <w:lang w:val="sr-Latn-CS"/>
        </w:rPr>
        <w:t xml:space="preserve">Zakonodavstvo treba da </w:t>
      </w:r>
      <w:r w:rsidR="00616DD7">
        <w:rPr>
          <w:lang w:val="sr-Latn-CS"/>
        </w:rPr>
        <w:t>kodifikuje relevant</w:t>
      </w:r>
      <w:r w:rsidR="00D815A2">
        <w:rPr>
          <w:lang w:val="sr-Latn-CS"/>
        </w:rPr>
        <w:t>na pitanja u sl</w:t>
      </w:r>
      <w:r w:rsidR="000E51AB">
        <w:rPr>
          <w:lang w:val="sr-Latn-CS"/>
        </w:rPr>
        <w:t xml:space="preserve">edećim oblastima </w:t>
      </w:r>
      <w:r w:rsidR="00DE5842">
        <w:rPr>
          <w:lang w:val="sr-Latn-CS"/>
        </w:rPr>
        <w:t>prava</w:t>
      </w:r>
      <w:r w:rsidR="000E51AB">
        <w:rPr>
          <w:lang w:val="sr-Latn-CS"/>
        </w:rPr>
        <w:t>: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6.1.3.1.       </w:t>
      </w:r>
      <w:r w:rsidR="0001245E">
        <w:rPr>
          <w:lang w:val="sr-Latn-CS"/>
        </w:rPr>
        <w:t>z</w:t>
      </w:r>
      <w:r w:rsidR="005D03E1">
        <w:rPr>
          <w:lang w:val="sr-Latn-CS"/>
        </w:rPr>
        <w:t xml:space="preserve">akon o zapošljavanju – </w:t>
      </w:r>
      <w:r w:rsidR="0001245E">
        <w:rPr>
          <w:lang w:val="sr-Latn-CS"/>
        </w:rPr>
        <w:t>pre svega</w:t>
      </w:r>
      <w:r w:rsidR="005D03E1">
        <w:rPr>
          <w:lang w:val="sr-Latn-CS"/>
        </w:rPr>
        <w:t xml:space="preserve"> zaštita od nekorektnog otpuštanja i drugih oblika </w:t>
      </w:r>
      <w:r w:rsidR="005D03E1" w:rsidRPr="008A1BA8">
        <w:rPr>
          <w:lang w:val="sr-Latn-CS"/>
        </w:rPr>
        <w:t>odmazde</w:t>
      </w:r>
      <w:r w:rsidR="005D03E1">
        <w:rPr>
          <w:lang w:val="sr-Latn-CS"/>
        </w:rPr>
        <w:t xml:space="preserve"> </w:t>
      </w:r>
      <w:r w:rsidR="008A1BA8">
        <w:rPr>
          <w:lang w:val="sr-Latn-CS"/>
        </w:rPr>
        <w:t xml:space="preserve">u vezi sa </w:t>
      </w:r>
      <w:r w:rsidR="005D03E1">
        <w:rPr>
          <w:lang w:val="sr-Latn-CS"/>
        </w:rPr>
        <w:t>zapošljavanjem;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6.1.3.2.       </w:t>
      </w:r>
      <w:r w:rsidR="0001245E">
        <w:rPr>
          <w:lang w:val="sr-Latn-CS"/>
        </w:rPr>
        <w:t>k</w:t>
      </w:r>
      <w:r w:rsidR="005D03E1">
        <w:rPr>
          <w:lang w:val="sr-Latn-CS"/>
        </w:rPr>
        <w:t xml:space="preserve">rivični zakon i postupak – </w:t>
      </w:r>
      <w:r w:rsidR="00DE5842">
        <w:rPr>
          <w:lang w:val="sr-Latn-CS"/>
        </w:rPr>
        <w:t>pre svega</w:t>
      </w:r>
      <w:r w:rsidR="005D03E1">
        <w:rPr>
          <w:lang w:val="sr-Latn-CS"/>
        </w:rPr>
        <w:t xml:space="preserve"> </w:t>
      </w:r>
      <w:r w:rsidR="00162AA9">
        <w:rPr>
          <w:lang w:val="sr-Latn-CS"/>
        </w:rPr>
        <w:t>zaš</w:t>
      </w:r>
      <w:r w:rsidR="005D03E1">
        <w:rPr>
          <w:lang w:val="sr-Latn-CS"/>
        </w:rPr>
        <w:t>tita od krivično</w:t>
      </w:r>
      <w:r w:rsidR="00DE5842">
        <w:rPr>
          <w:lang w:val="sr-Latn-CS"/>
        </w:rPr>
        <w:t>g</w:t>
      </w:r>
      <w:r w:rsidR="005D03E1">
        <w:rPr>
          <w:lang w:val="sr-Latn-CS"/>
        </w:rPr>
        <w:t xml:space="preserve"> gonjenja za klevetu, </w:t>
      </w:r>
      <w:r w:rsidR="00DE5842">
        <w:rPr>
          <w:lang w:val="sr-Latn-CS"/>
        </w:rPr>
        <w:t>povredu službene ili poslovne tajne,</w:t>
      </w:r>
      <w:r w:rsidR="005D03E1">
        <w:rPr>
          <w:lang w:val="sr-Latn-CS"/>
        </w:rPr>
        <w:t xml:space="preserve"> </w:t>
      </w:r>
      <w:r w:rsidR="00DE5842">
        <w:rPr>
          <w:lang w:val="sr-Latn-CS"/>
        </w:rPr>
        <w:t xml:space="preserve">kao </w:t>
      </w:r>
      <w:r w:rsidR="005D03E1">
        <w:rPr>
          <w:lang w:val="sr-Latn-CS"/>
        </w:rPr>
        <w:t>i zaštit</w:t>
      </w:r>
      <w:r w:rsidR="00DE5842">
        <w:rPr>
          <w:lang w:val="sr-Latn-CS"/>
        </w:rPr>
        <w:t>a</w:t>
      </w:r>
      <w:r w:rsidR="005D03E1">
        <w:rPr>
          <w:lang w:val="sr-Latn-CS"/>
        </w:rPr>
        <w:t xml:space="preserve"> svedoka;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6.1.3.3.       </w:t>
      </w:r>
      <w:r w:rsidR="0001245E">
        <w:rPr>
          <w:lang w:val="sr-Latn-CS"/>
        </w:rPr>
        <w:t>z</w:t>
      </w:r>
      <w:r w:rsidR="005D03E1">
        <w:rPr>
          <w:lang w:val="sr-Latn-CS"/>
        </w:rPr>
        <w:t xml:space="preserve">akon o </w:t>
      </w:r>
      <w:r w:rsidR="00DE5842">
        <w:rPr>
          <w:lang w:val="sr-Latn-CS"/>
        </w:rPr>
        <w:t>sredstvima javnog informisanja</w:t>
      </w:r>
      <w:r w:rsidR="005D03E1">
        <w:rPr>
          <w:lang w:val="sr-Latn-CS"/>
        </w:rPr>
        <w:t xml:space="preserve"> – </w:t>
      </w:r>
      <w:r w:rsidR="00DE5842">
        <w:rPr>
          <w:lang w:val="sr-Latn-CS"/>
        </w:rPr>
        <w:t>pre svega</w:t>
      </w:r>
      <w:r w:rsidR="005D03E1">
        <w:rPr>
          <w:lang w:val="sr-Latn-CS"/>
        </w:rPr>
        <w:t xml:space="preserve"> zaštit</w:t>
      </w:r>
      <w:r w:rsidR="00DE5842">
        <w:rPr>
          <w:lang w:val="sr-Latn-CS"/>
        </w:rPr>
        <w:t>a</w:t>
      </w:r>
      <w:r w:rsidR="005D03E1">
        <w:rPr>
          <w:lang w:val="sr-Latn-CS"/>
        </w:rPr>
        <w:t xml:space="preserve"> novinarskih izvora; i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6.1.3.4.       </w:t>
      </w:r>
      <w:r w:rsidR="005D03E1">
        <w:rPr>
          <w:lang w:val="sr-Latn-CS"/>
        </w:rPr>
        <w:t xml:space="preserve">konkretne mere za borbu protiv korupcije, kao što su mere predviđene </w:t>
      </w:r>
      <w:r w:rsidR="00C622F8">
        <w:rPr>
          <w:lang w:val="sr-Latn-CS"/>
        </w:rPr>
        <w:t>Građanskopravnom</w:t>
      </w:r>
      <w:r w:rsidR="008A1BA8">
        <w:rPr>
          <w:lang w:val="sr-Latn-CS"/>
        </w:rPr>
        <w:t xml:space="preserve"> </w:t>
      </w:r>
      <w:r w:rsidR="00C622F8">
        <w:rPr>
          <w:lang w:val="sr-Latn-CS"/>
        </w:rPr>
        <w:t>konvencijom</w:t>
      </w:r>
      <w:r w:rsidR="005D03E1">
        <w:rPr>
          <w:lang w:val="sr-Latn-CS"/>
        </w:rPr>
        <w:t xml:space="preserve"> </w:t>
      </w:r>
      <w:r w:rsidR="008A1BA8">
        <w:rPr>
          <w:lang w:val="sr-Latn-CS"/>
        </w:rPr>
        <w:t xml:space="preserve">Saveta Evrope </w:t>
      </w:r>
      <w:r w:rsidR="005D03E1">
        <w:rPr>
          <w:lang w:val="sr-Latn-CS"/>
        </w:rPr>
        <w:t xml:space="preserve">o korupciji </w:t>
      </w:r>
      <w:r w:rsidR="005D03E1" w:rsidRPr="00326786">
        <w:rPr>
          <w:lang w:val="sr-Latn-CS"/>
        </w:rPr>
        <w:t xml:space="preserve">(ETS </w:t>
      </w:r>
      <w:r w:rsidR="005D03E1">
        <w:rPr>
          <w:lang w:val="sr-Latn-CS"/>
        </w:rPr>
        <w:t>br</w:t>
      </w:r>
      <w:r w:rsidR="005D03E1" w:rsidRPr="00326786">
        <w:rPr>
          <w:lang w:val="sr-Latn-CS"/>
        </w:rPr>
        <w:t>. 174)</w:t>
      </w:r>
      <w:r w:rsidR="005D03E1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>6.2.      </w:t>
      </w:r>
      <w:r w:rsidR="005D03E1">
        <w:rPr>
          <w:lang w:val="sr-Latn-CS"/>
        </w:rPr>
        <w:t xml:space="preserve">Zakonodavstvo o „duvanju u </w:t>
      </w:r>
      <w:r w:rsidR="00001CFA">
        <w:rPr>
          <w:lang w:val="sr-Latn-CS"/>
        </w:rPr>
        <w:t>pištaljku</w:t>
      </w:r>
      <w:r w:rsidR="005D03E1">
        <w:rPr>
          <w:lang w:val="sr-Latn-CS"/>
        </w:rPr>
        <w:t xml:space="preserve">“ treba da bude </w:t>
      </w:r>
      <w:r w:rsidR="008A1BA8">
        <w:rPr>
          <w:lang w:val="sr-Latn-CS"/>
        </w:rPr>
        <w:t>usmereno</w:t>
      </w:r>
      <w:r w:rsidR="005D03E1">
        <w:rPr>
          <w:lang w:val="sr-Latn-CS"/>
        </w:rPr>
        <w:t xml:space="preserve"> na </w:t>
      </w:r>
      <w:r w:rsidR="008A1BA8">
        <w:rPr>
          <w:lang w:val="sr-Latn-CS"/>
        </w:rPr>
        <w:t>obezbeđivanje</w:t>
      </w:r>
      <w:r w:rsidR="005D03E1">
        <w:rPr>
          <w:lang w:val="sr-Latn-CS"/>
        </w:rPr>
        <w:t xml:space="preserve"> bezbedne alternative za ćutanje.</w:t>
      </w:r>
      <w:r w:rsidRPr="00326786">
        <w:rPr>
          <w:lang w:val="sr-Latn-CS"/>
        </w:rPr>
        <w:t xml:space="preserve">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6.2.1.       </w:t>
      </w:r>
      <w:r w:rsidR="005D03E1">
        <w:rPr>
          <w:lang w:val="sr-Latn-CS"/>
        </w:rPr>
        <w:t xml:space="preserve">Ono treba da pruži odgovarajuće podsticaje </w:t>
      </w:r>
      <w:r w:rsidR="008A1BA8">
        <w:rPr>
          <w:lang w:val="sr-Latn-CS"/>
        </w:rPr>
        <w:t xml:space="preserve">donosiocima odluka u državnim organima i privrednim subjektima za uspostavljanje </w:t>
      </w:r>
      <w:r w:rsidR="00162AA9">
        <w:rPr>
          <w:lang w:val="sr-Latn-CS"/>
        </w:rPr>
        <w:t>intern</w:t>
      </w:r>
      <w:r w:rsidR="008A1BA8">
        <w:rPr>
          <w:lang w:val="sr-Latn-CS"/>
        </w:rPr>
        <w:t>ih</w:t>
      </w:r>
      <w:r w:rsidR="00162AA9">
        <w:rPr>
          <w:lang w:val="sr-Latn-CS"/>
        </w:rPr>
        <w:t xml:space="preserve"> procedur</w:t>
      </w:r>
      <w:r w:rsidR="008A1BA8">
        <w:rPr>
          <w:lang w:val="sr-Latn-CS"/>
        </w:rPr>
        <w:t>a</w:t>
      </w:r>
      <w:r w:rsidR="00162AA9">
        <w:rPr>
          <w:lang w:val="sr-Latn-CS"/>
        </w:rPr>
        <w:t xml:space="preserve"> „duvanj</w:t>
      </w:r>
      <w:r w:rsidR="008A1BA8">
        <w:rPr>
          <w:lang w:val="sr-Latn-CS"/>
        </w:rPr>
        <w:t>a</w:t>
      </w:r>
      <w:r w:rsidR="00162AA9">
        <w:rPr>
          <w:lang w:val="sr-Latn-CS"/>
        </w:rPr>
        <w:t xml:space="preserve"> u </w:t>
      </w:r>
      <w:r w:rsidR="00001CFA">
        <w:rPr>
          <w:lang w:val="sr-Latn-CS"/>
        </w:rPr>
        <w:t>pištaljku</w:t>
      </w:r>
      <w:r w:rsidR="00162AA9">
        <w:rPr>
          <w:lang w:val="sr-Latn-CS"/>
        </w:rPr>
        <w:t>“ koje će obezbediti: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6.2.1.1.       </w:t>
      </w:r>
      <w:r w:rsidR="00162AA9">
        <w:rPr>
          <w:lang w:val="sr-Latn-CS"/>
        </w:rPr>
        <w:t xml:space="preserve">da razotkrivanja koja se odnose na moguće probleme budu </w:t>
      </w:r>
      <w:r w:rsidR="008A1BA8">
        <w:rPr>
          <w:lang w:val="sr-Latn-CS"/>
        </w:rPr>
        <w:t xml:space="preserve">na odgovarajući način </w:t>
      </w:r>
      <w:r w:rsidR="00162AA9">
        <w:rPr>
          <w:lang w:val="sr-Latn-CS"/>
        </w:rPr>
        <w:t xml:space="preserve">ispitana i da relevantne informacije blagovremeno stignu do </w:t>
      </w:r>
      <w:r w:rsidR="008A1BA8">
        <w:rPr>
          <w:lang w:val="sr-Latn-CS"/>
        </w:rPr>
        <w:t xml:space="preserve">vrha rukovodstva, pri čemu u slučaju potrebe treba omogućiti </w:t>
      </w:r>
      <w:r w:rsidR="003C52C7">
        <w:rPr>
          <w:lang w:val="sr-Latn-CS"/>
        </w:rPr>
        <w:t>i zaobilaženje uobičajene hijerarhije, i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>6.2.1.2.      </w:t>
      </w:r>
      <w:r w:rsidR="00162AA9">
        <w:rPr>
          <w:lang w:val="sr-Latn-CS"/>
        </w:rPr>
        <w:t xml:space="preserve">da identitet insajdera bude otkriven samo uz njegov pristanak ili </w:t>
      </w:r>
      <w:r w:rsidR="008A1BA8">
        <w:rPr>
          <w:lang w:val="sr-Latn-CS"/>
        </w:rPr>
        <w:t>u slučaju potrebe da se spreče</w:t>
      </w:r>
      <w:r w:rsidR="00162AA9">
        <w:rPr>
          <w:lang w:val="sr-Latn-CS"/>
        </w:rPr>
        <w:t xml:space="preserve"> ozbiljne i </w:t>
      </w:r>
      <w:r w:rsidR="003C52C7">
        <w:rPr>
          <w:lang w:val="sr-Latn-CS"/>
        </w:rPr>
        <w:t>stvarne</w:t>
      </w:r>
      <w:r w:rsidR="00162AA9">
        <w:rPr>
          <w:lang w:val="sr-Latn-CS"/>
        </w:rPr>
        <w:t xml:space="preserve"> pretnje za javni interes.</w:t>
      </w:r>
      <w:r w:rsidRPr="00326786">
        <w:rPr>
          <w:lang w:val="sr-Latn-CS"/>
        </w:rPr>
        <w:t xml:space="preserve">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6.2.2.       </w:t>
      </w:r>
      <w:r w:rsidR="00162AA9">
        <w:rPr>
          <w:lang w:val="sr-Latn-CS"/>
        </w:rPr>
        <w:t xml:space="preserve">Ovo zakonodavstvo treba da zaštiti svakoga ko u dobroj veri iskoristi postojeće interne kanale za „duvanje u </w:t>
      </w:r>
      <w:r w:rsidR="00001CFA">
        <w:rPr>
          <w:lang w:val="sr-Latn-CS"/>
        </w:rPr>
        <w:t>pištaljku</w:t>
      </w:r>
      <w:r w:rsidR="00162AA9">
        <w:rPr>
          <w:lang w:val="sr-Latn-CS"/>
        </w:rPr>
        <w:t xml:space="preserve">“ od bilo koje vrste </w:t>
      </w:r>
      <w:r w:rsidR="00162AA9" w:rsidRPr="003C52C7">
        <w:rPr>
          <w:lang w:val="sr-Latn-CS"/>
        </w:rPr>
        <w:t>odmazde</w:t>
      </w:r>
      <w:r w:rsidR="00162AA9">
        <w:rPr>
          <w:lang w:val="sr-Latn-CS"/>
        </w:rPr>
        <w:t xml:space="preserve"> (</w:t>
      </w:r>
      <w:r w:rsidR="00740436">
        <w:rPr>
          <w:lang w:val="sr-Latn-CS"/>
        </w:rPr>
        <w:t xml:space="preserve">nekorektnog otpuštanja, </w:t>
      </w:r>
      <w:r w:rsidR="003C52C7">
        <w:rPr>
          <w:lang w:val="sr-Latn-CS"/>
        </w:rPr>
        <w:t>uznemiravanja</w:t>
      </w:r>
      <w:r w:rsidR="00740436">
        <w:rPr>
          <w:lang w:val="sr-Latn-CS"/>
        </w:rPr>
        <w:t xml:space="preserve"> ili bilo </w:t>
      </w:r>
      <w:r w:rsidR="003C52C7">
        <w:rPr>
          <w:lang w:val="sr-Latn-CS"/>
        </w:rPr>
        <w:t>kog drugog vida kažnjavanja ili diskriminacije</w:t>
      </w:r>
      <w:r w:rsidR="00740436">
        <w:rPr>
          <w:lang w:val="sr-Latn-CS"/>
        </w:rPr>
        <w:t>).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6.2.3.       </w:t>
      </w:r>
      <w:r w:rsidR="00740436">
        <w:rPr>
          <w:lang w:val="sr-Latn-CS"/>
        </w:rPr>
        <w:t>Ukoliko interni kanali ne postoje ili ne funkcionišu na adekvatan način</w:t>
      </w:r>
      <w:r w:rsidR="003C52C7">
        <w:rPr>
          <w:lang w:val="sr-Latn-CS"/>
        </w:rPr>
        <w:t>,</w:t>
      </w:r>
      <w:r w:rsidR="00740436">
        <w:rPr>
          <w:lang w:val="sr-Latn-CS"/>
        </w:rPr>
        <w:t xml:space="preserve"> </w:t>
      </w:r>
      <w:r w:rsidR="003C52C7">
        <w:rPr>
          <w:lang w:val="sr-Latn-CS"/>
        </w:rPr>
        <w:t>odnosno</w:t>
      </w:r>
      <w:r w:rsidR="00740436">
        <w:rPr>
          <w:lang w:val="sr-Latn-CS"/>
        </w:rPr>
        <w:t xml:space="preserve"> ne može da se očekuje da će funkcionisati na odgovarajući način s obzirom na </w:t>
      </w:r>
      <w:r w:rsidR="00740436">
        <w:rPr>
          <w:lang w:val="sr-Latn-CS"/>
        </w:rPr>
        <w:lastRenderedPageBreak/>
        <w:t xml:space="preserve">prirodu probema koji je pokrenuo insajder, </w:t>
      </w:r>
      <w:r w:rsidR="003C52C7">
        <w:rPr>
          <w:lang w:val="sr-Latn-CS"/>
        </w:rPr>
        <w:t xml:space="preserve">potrebno je obezbediti i zaštitu za </w:t>
      </w:r>
      <w:r w:rsidR="00740436">
        <w:rPr>
          <w:lang w:val="sr-Latn-CS"/>
        </w:rPr>
        <w:t xml:space="preserve">„duvanje u </w:t>
      </w:r>
      <w:r w:rsidR="00001CFA">
        <w:rPr>
          <w:lang w:val="sr-Latn-CS"/>
        </w:rPr>
        <w:t>pištaljku</w:t>
      </w:r>
      <w:r w:rsidR="00740436">
        <w:rPr>
          <w:lang w:val="sr-Latn-CS"/>
        </w:rPr>
        <w:t xml:space="preserve">“, </w:t>
      </w:r>
      <w:r w:rsidR="003C52C7">
        <w:rPr>
          <w:lang w:val="sr-Latn-CS"/>
        </w:rPr>
        <w:t>kroz spoljne kanale, uključujući i sredstva javnog informisanja</w:t>
      </w:r>
      <w:r w:rsidRPr="00326786">
        <w:rPr>
          <w:lang w:val="sr-Latn-CS"/>
        </w:rPr>
        <w:t xml:space="preserve">. 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6.2.4.       </w:t>
      </w:r>
      <w:r w:rsidR="00740436">
        <w:rPr>
          <w:lang w:val="sr-Latn-CS"/>
        </w:rPr>
        <w:t xml:space="preserve">Smatra se da insajder postupa u dobroj veri </w:t>
      </w:r>
      <w:r w:rsidR="00DE5842">
        <w:rPr>
          <w:lang w:val="sr-Latn-CS"/>
        </w:rPr>
        <w:t>ako</w:t>
      </w:r>
      <w:r w:rsidR="00740436">
        <w:rPr>
          <w:lang w:val="sr-Latn-CS"/>
        </w:rPr>
        <w:t xml:space="preserve"> ima osnovan</w:t>
      </w:r>
      <w:r w:rsidR="00DE5842">
        <w:rPr>
          <w:lang w:val="sr-Latn-CS"/>
        </w:rPr>
        <w:t>og</w:t>
      </w:r>
      <w:r w:rsidR="00740436">
        <w:rPr>
          <w:lang w:val="sr-Latn-CS"/>
        </w:rPr>
        <w:t xml:space="preserve"> razlog</w:t>
      </w:r>
      <w:r w:rsidR="00DE5842">
        <w:rPr>
          <w:lang w:val="sr-Latn-CS"/>
        </w:rPr>
        <w:t>a</w:t>
      </w:r>
      <w:r w:rsidR="00740436">
        <w:rPr>
          <w:lang w:val="sr-Latn-CS"/>
        </w:rPr>
        <w:t xml:space="preserve"> da </w:t>
      </w:r>
      <w:r w:rsidR="00DE5842">
        <w:rPr>
          <w:lang w:val="sr-Latn-CS"/>
        </w:rPr>
        <w:t>smatra</w:t>
      </w:r>
      <w:r w:rsidR="00740436">
        <w:rPr>
          <w:lang w:val="sr-Latn-CS"/>
        </w:rPr>
        <w:t xml:space="preserve"> da je informacija koju je razotkrio istinita, čak i ako se kasnije </w:t>
      </w:r>
      <w:r w:rsidR="00DE5842">
        <w:rPr>
          <w:lang w:val="sr-Latn-CS"/>
        </w:rPr>
        <w:t>ustanovi</w:t>
      </w:r>
      <w:r w:rsidR="00740436">
        <w:rPr>
          <w:lang w:val="sr-Latn-CS"/>
        </w:rPr>
        <w:t xml:space="preserve"> da to nije bio slučaj, i </w:t>
      </w:r>
      <w:r w:rsidR="00DE5842">
        <w:rPr>
          <w:lang w:val="sr-Latn-CS"/>
        </w:rPr>
        <w:t>ako</w:t>
      </w:r>
      <w:r w:rsidR="00740436">
        <w:rPr>
          <w:lang w:val="sr-Latn-CS"/>
        </w:rPr>
        <w:t xml:space="preserve"> </w:t>
      </w:r>
      <w:r w:rsidR="00DE5842">
        <w:rPr>
          <w:lang w:val="sr-Latn-CS"/>
        </w:rPr>
        <w:t xml:space="preserve">pri tom ne teži ostvarivanju </w:t>
      </w:r>
      <w:r w:rsidR="00740436">
        <w:rPr>
          <w:lang w:val="sr-Latn-CS"/>
        </w:rPr>
        <w:t>nezakonit</w:t>
      </w:r>
      <w:r w:rsidR="00DE5842">
        <w:rPr>
          <w:lang w:val="sr-Latn-CS"/>
        </w:rPr>
        <w:t>ih</w:t>
      </w:r>
      <w:r w:rsidR="00740436">
        <w:rPr>
          <w:lang w:val="sr-Latn-CS"/>
        </w:rPr>
        <w:t xml:space="preserve"> ili neetičk</w:t>
      </w:r>
      <w:r w:rsidR="00DE5842">
        <w:rPr>
          <w:lang w:val="sr-Latn-CS"/>
        </w:rPr>
        <w:t>ih</w:t>
      </w:r>
      <w:r w:rsidR="00740436">
        <w:rPr>
          <w:lang w:val="sr-Latn-CS"/>
        </w:rPr>
        <w:t xml:space="preserve"> ciljev</w:t>
      </w:r>
      <w:r w:rsidR="00DE5842">
        <w:rPr>
          <w:lang w:val="sr-Latn-CS"/>
        </w:rPr>
        <w:t>a</w:t>
      </w:r>
      <w:r w:rsidR="00740436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6.2.5.       </w:t>
      </w:r>
      <w:r w:rsidR="00740436">
        <w:rPr>
          <w:lang w:val="sr-Latn-CS"/>
        </w:rPr>
        <w:t>Rele</w:t>
      </w:r>
      <w:r w:rsidR="00987509">
        <w:rPr>
          <w:lang w:val="sr-Latn-CS"/>
        </w:rPr>
        <w:t>v</w:t>
      </w:r>
      <w:r w:rsidR="00740436">
        <w:rPr>
          <w:lang w:val="sr-Latn-CS"/>
        </w:rPr>
        <w:t xml:space="preserve">antno zakonodavstvo treba da pruži insajderima koji postupaju u dobroj veri pouzdanu zaštitu od </w:t>
      </w:r>
      <w:r w:rsidR="003C52C7">
        <w:rPr>
          <w:lang w:val="sr-Latn-CS"/>
        </w:rPr>
        <w:t>svakog vida</w:t>
      </w:r>
      <w:r w:rsidR="00740436">
        <w:rPr>
          <w:lang w:val="sr-Latn-CS"/>
        </w:rPr>
        <w:t xml:space="preserve"> </w:t>
      </w:r>
      <w:r w:rsidR="00740436" w:rsidRPr="003C52C7">
        <w:rPr>
          <w:lang w:val="sr-Latn-CS"/>
        </w:rPr>
        <w:t>odmazde</w:t>
      </w:r>
      <w:r w:rsidR="00740436">
        <w:rPr>
          <w:lang w:val="sr-Latn-CS"/>
        </w:rPr>
        <w:t xml:space="preserve"> od strane </w:t>
      </w:r>
      <w:r w:rsidR="00987509">
        <w:rPr>
          <w:lang w:val="sr-Latn-CS"/>
        </w:rPr>
        <w:t xml:space="preserve">mehanizma </w:t>
      </w:r>
      <w:r w:rsidR="003C52C7">
        <w:rPr>
          <w:lang w:val="sr-Latn-CS"/>
        </w:rPr>
        <w:t xml:space="preserve">organa gonjenja </w:t>
      </w:r>
      <w:r w:rsidR="00987509">
        <w:rPr>
          <w:lang w:val="sr-Latn-CS"/>
        </w:rPr>
        <w:t xml:space="preserve">koji ispituje pritužbu insajdera i </w:t>
      </w:r>
      <w:r w:rsidR="003C52C7">
        <w:rPr>
          <w:lang w:val="sr-Latn-CS"/>
        </w:rPr>
        <w:t>da nalaže</w:t>
      </w:r>
      <w:r w:rsidR="00987509">
        <w:rPr>
          <w:lang w:val="sr-Latn-CS"/>
        </w:rPr>
        <w:t xml:space="preserve"> </w:t>
      </w:r>
      <w:r w:rsidR="003C52C7">
        <w:rPr>
          <w:lang w:val="sr-Latn-CS"/>
        </w:rPr>
        <w:t xml:space="preserve">poslodavcu preduzimanje </w:t>
      </w:r>
      <w:r w:rsidR="00987509">
        <w:rPr>
          <w:lang w:val="sr-Latn-CS"/>
        </w:rPr>
        <w:t>korektivn</w:t>
      </w:r>
      <w:r w:rsidR="003C52C7">
        <w:rPr>
          <w:lang w:val="sr-Latn-CS"/>
        </w:rPr>
        <w:t>ih</w:t>
      </w:r>
      <w:r w:rsidR="00987509">
        <w:rPr>
          <w:lang w:val="sr-Latn-CS"/>
        </w:rPr>
        <w:t xml:space="preserve"> mer</w:t>
      </w:r>
      <w:r w:rsidR="003C52C7">
        <w:rPr>
          <w:lang w:val="sr-Latn-CS"/>
        </w:rPr>
        <w:t>a</w:t>
      </w:r>
      <w:r w:rsidR="00987509">
        <w:rPr>
          <w:lang w:val="sr-Latn-CS"/>
        </w:rPr>
        <w:t>, uključujući i privremen</w:t>
      </w:r>
      <w:r w:rsidR="003C52C7">
        <w:rPr>
          <w:lang w:val="sr-Latn-CS"/>
        </w:rPr>
        <w:t>i</w:t>
      </w:r>
      <w:r w:rsidR="00987509">
        <w:rPr>
          <w:lang w:val="sr-Latn-CS"/>
        </w:rPr>
        <w:t xml:space="preserve"> </w:t>
      </w:r>
      <w:r w:rsidR="003C52C7">
        <w:rPr>
          <w:lang w:val="sr-Latn-CS"/>
        </w:rPr>
        <w:t>pravni lek</w:t>
      </w:r>
      <w:r w:rsidR="00987509">
        <w:rPr>
          <w:lang w:val="sr-Latn-CS"/>
        </w:rPr>
        <w:t xml:space="preserve"> do punog saslušanja i odgovarajuću novčanu nadoknadu </w:t>
      </w:r>
      <w:r w:rsidR="003C52C7">
        <w:rPr>
          <w:lang w:val="sr-Latn-CS"/>
        </w:rPr>
        <w:t>u slučaju da</w:t>
      </w:r>
      <w:r w:rsidR="00987509">
        <w:rPr>
          <w:lang w:val="sr-Latn-CS"/>
        </w:rPr>
        <w:t xml:space="preserve"> posledice mera odmazde </w:t>
      </w:r>
      <w:r w:rsidR="003C52C7">
        <w:rPr>
          <w:lang w:val="sr-Latn-CS"/>
        </w:rPr>
        <w:t>nije moguće otkloniti</w:t>
      </w:r>
      <w:r w:rsidR="00987509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>6.2.6.      </w:t>
      </w:r>
      <w:r w:rsidR="00987509">
        <w:rPr>
          <w:lang w:val="sr-Latn-CS"/>
        </w:rPr>
        <w:t xml:space="preserve">Zakonodavstvo takođe treba da </w:t>
      </w:r>
      <w:r w:rsidR="00724368">
        <w:rPr>
          <w:lang w:val="sr-Latn-CS"/>
        </w:rPr>
        <w:t>predviđa odgovarajuće negativne posledice za lica</w:t>
      </w:r>
      <w:r w:rsidR="00F1045E">
        <w:rPr>
          <w:lang w:val="sr-Latn-CS"/>
        </w:rPr>
        <w:t xml:space="preserve"> koj</w:t>
      </w:r>
      <w:r w:rsidR="00724368">
        <w:rPr>
          <w:lang w:val="sr-Latn-CS"/>
        </w:rPr>
        <w:t>a</w:t>
      </w:r>
      <w:r w:rsidR="00F1045E">
        <w:rPr>
          <w:lang w:val="sr-Latn-CS"/>
        </w:rPr>
        <w:t xml:space="preserve"> vrše odmazdu, i to u vidu </w:t>
      </w:r>
      <w:r w:rsidR="00616DD7">
        <w:rPr>
          <w:lang w:val="sr-Latn-CS"/>
        </w:rPr>
        <w:t>protiv</w:t>
      </w:r>
      <w:r w:rsidR="00F1045E">
        <w:rPr>
          <w:lang w:val="sr-Latn-CS"/>
        </w:rPr>
        <w:t>tužbi</w:t>
      </w:r>
      <w:r w:rsidR="00616DD7">
        <w:rPr>
          <w:lang w:val="sr-Latn-CS"/>
        </w:rPr>
        <w:t xml:space="preserve"> </w:t>
      </w:r>
      <w:r w:rsidR="0068472E">
        <w:rPr>
          <w:lang w:val="sr-Latn-CS"/>
        </w:rPr>
        <w:t xml:space="preserve">insajdera </w:t>
      </w:r>
      <w:r w:rsidR="00F1045E">
        <w:rPr>
          <w:lang w:val="sr-Latn-CS"/>
        </w:rPr>
        <w:t>koji je žrtva odmazde, sa ciljem otpuštanja ili drugog vida sankcionisanja postupaka tih lica</w:t>
      </w:r>
      <w:r w:rsidR="00DC1E7E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6.2.7.       </w:t>
      </w:r>
      <w:r w:rsidR="003C52C7">
        <w:rPr>
          <w:lang w:val="sr-Latn-CS"/>
        </w:rPr>
        <w:t>Mehanizmi</w:t>
      </w:r>
      <w:r w:rsidR="00DC1E7E">
        <w:rPr>
          <w:lang w:val="sr-Latn-CS"/>
        </w:rPr>
        <w:t xml:space="preserve"> „duvanj</w:t>
      </w:r>
      <w:r w:rsidR="003C52C7">
        <w:rPr>
          <w:lang w:val="sr-Latn-CS"/>
        </w:rPr>
        <w:t>a</w:t>
      </w:r>
      <w:r w:rsidR="00DC1E7E">
        <w:rPr>
          <w:lang w:val="sr-Latn-CS"/>
        </w:rPr>
        <w:t xml:space="preserve"> u </w:t>
      </w:r>
      <w:r w:rsidR="00001CFA">
        <w:rPr>
          <w:lang w:val="sr-Latn-CS"/>
        </w:rPr>
        <w:t>pištaljku</w:t>
      </w:r>
      <w:r w:rsidR="00DC1E7E">
        <w:rPr>
          <w:lang w:val="sr-Latn-CS"/>
        </w:rPr>
        <w:t xml:space="preserve">“ takođe treba da pruže odgovarajuću zaštitu od optužbi </w:t>
      </w:r>
      <w:r w:rsidR="003C52C7">
        <w:rPr>
          <w:lang w:val="sr-Latn-CS"/>
        </w:rPr>
        <w:t>iznetih</w:t>
      </w:r>
      <w:r w:rsidR="00DC1E7E">
        <w:rPr>
          <w:lang w:val="sr-Latn-CS"/>
        </w:rPr>
        <w:t xml:space="preserve"> u zloj veri.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6.3.       </w:t>
      </w:r>
      <w:r w:rsidR="00F1045E">
        <w:rPr>
          <w:lang w:val="sr-Latn-CS"/>
        </w:rPr>
        <w:t>U vezi s teretom dokazivanja</w:t>
      </w:r>
      <w:r w:rsidR="00DC1E7E">
        <w:rPr>
          <w:lang w:val="sr-Latn-CS"/>
        </w:rPr>
        <w:t xml:space="preserve">, </w:t>
      </w:r>
      <w:r w:rsidR="00F1045E">
        <w:rPr>
          <w:lang w:val="sr-Latn-CS"/>
        </w:rPr>
        <w:t xml:space="preserve">na </w:t>
      </w:r>
      <w:r w:rsidR="00DC1E7E">
        <w:rPr>
          <w:lang w:val="sr-Latn-CS"/>
        </w:rPr>
        <w:t>poslodav</w:t>
      </w:r>
      <w:r w:rsidR="00F1045E">
        <w:rPr>
          <w:lang w:val="sr-Latn-CS"/>
        </w:rPr>
        <w:t>cu</w:t>
      </w:r>
      <w:r w:rsidR="00DC1E7E">
        <w:rPr>
          <w:lang w:val="sr-Latn-CS"/>
        </w:rPr>
        <w:t xml:space="preserve"> </w:t>
      </w:r>
      <w:r w:rsidR="00F1045E">
        <w:rPr>
          <w:lang w:val="sr-Latn-CS"/>
        </w:rPr>
        <w:t xml:space="preserve">je da van svake sumnje dokaže da eventualne </w:t>
      </w:r>
      <w:r w:rsidR="00DC1E7E">
        <w:rPr>
          <w:lang w:val="sr-Latn-CS"/>
        </w:rPr>
        <w:t xml:space="preserve">mere </w:t>
      </w:r>
      <w:r w:rsidR="00F1045E">
        <w:rPr>
          <w:lang w:val="sr-Latn-CS"/>
        </w:rPr>
        <w:t xml:space="preserve">koje su </w:t>
      </w:r>
      <w:r w:rsidR="00DC1E7E">
        <w:rPr>
          <w:lang w:val="sr-Latn-CS"/>
        </w:rPr>
        <w:t xml:space="preserve">preduzete na štetu insajdera nisu motivisane </w:t>
      </w:r>
      <w:r w:rsidR="00F1045E">
        <w:rPr>
          <w:lang w:val="sr-Latn-CS"/>
        </w:rPr>
        <w:t>postupkom tog</w:t>
      </w:r>
      <w:r w:rsidR="00DC1E7E">
        <w:rPr>
          <w:lang w:val="sr-Latn-CS"/>
        </w:rPr>
        <w:t xml:space="preserve"> insajdera.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6.4.       </w:t>
      </w:r>
      <w:r w:rsidR="00532D55">
        <w:rPr>
          <w:lang w:val="sr-Latn-CS"/>
        </w:rPr>
        <w:t>Sprovođenje</w:t>
      </w:r>
      <w:r w:rsidR="00DC1E7E">
        <w:rPr>
          <w:lang w:val="sr-Latn-CS"/>
        </w:rPr>
        <w:t xml:space="preserve"> i uticaj relevantnog zakonodavstva na </w:t>
      </w:r>
      <w:r w:rsidR="00532D55">
        <w:rPr>
          <w:lang w:val="sr-Latn-CS"/>
        </w:rPr>
        <w:t>stvarnu</w:t>
      </w:r>
      <w:r w:rsidR="00DC1E7E">
        <w:rPr>
          <w:lang w:val="sr-Latn-CS"/>
        </w:rPr>
        <w:t xml:space="preserve"> zaštitu insajdera treba </w:t>
      </w:r>
      <w:r w:rsidR="00532D55">
        <w:rPr>
          <w:lang w:val="sr-Latn-CS"/>
        </w:rPr>
        <w:t xml:space="preserve">redovno </w:t>
      </w:r>
      <w:r w:rsidR="00DC1E7E">
        <w:rPr>
          <w:lang w:val="sr-Latn-CS"/>
        </w:rPr>
        <w:t>da prate i ocenjuju nezavisna tela.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7.       </w:t>
      </w:r>
      <w:r w:rsidR="00DC1E7E">
        <w:rPr>
          <w:lang w:val="sr-Latn-CS"/>
        </w:rPr>
        <w:t xml:space="preserve">Skupština naglašava da </w:t>
      </w:r>
      <w:r w:rsidR="00532D55">
        <w:rPr>
          <w:lang w:val="sr-Latn-CS"/>
        </w:rPr>
        <w:t xml:space="preserve">je, uz </w:t>
      </w:r>
      <w:r w:rsidR="00DC1E7E">
        <w:rPr>
          <w:lang w:val="sr-Latn-CS"/>
        </w:rPr>
        <w:t xml:space="preserve">neophodno </w:t>
      </w:r>
      <w:r w:rsidR="00532D55">
        <w:rPr>
          <w:lang w:val="sr-Latn-CS"/>
        </w:rPr>
        <w:t>poboljšanje</w:t>
      </w:r>
      <w:r w:rsidR="00DC1E7E">
        <w:rPr>
          <w:lang w:val="sr-Latn-CS"/>
        </w:rPr>
        <w:t xml:space="preserve"> zakonodavstva</w:t>
      </w:r>
      <w:r w:rsidR="00532D55">
        <w:rPr>
          <w:lang w:val="sr-Latn-CS"/>
        </w:rPr>
        <w:t>,</w:t>
      </w:r>
      <w:r w:rsidR="00DC1E7E">
        <w:rPr>
          <w:lang w:val="sr-Latn-CS"/>
        </w:rPr>
        <w:t xml:space="preserve"> </w:t>
      </w:r>
      <w:r w:rsidR="00532D55">
        <w:rPr>
          <w:lang w:val="sr-Latn-CS"/>
        </w:rPr>
        <w:t xml:space="preserve">potrebno obezbediti i pozitivnu promenu opšte kulture odnosa prema </w:t>
      </w:r>
      <w:r w:rsidR="00DC1E7E">
        <w:rPr>
          <w:lang w:val="sr-Latn-CS"/>
        </w:rPr>
        <w:t xml:space="preserve">„duvanju u </w:t>
      </w:r>
      <w:r w:rsidR="00001CFA">
        <w:rPr>
          <w:lang w:val="sr-Latn-CS"/>
        </w:rPr>
        <w:t>pištaljku</w:t>
      </w:r>
      <w:r w:rsidR="00DC1E7E">
        <w:rPr>
          <w:lang w:val="sr-Latn-CS"/>
        </w:rPr>
        <w:t>“</w:t>
      </w:r>
      <w:r w:rsidR="00532D55">
        <w:rPr>
          <w:lang w:val="sr-Latn-CS"/>
        </w:rPr>
        <w:t>,</w:t>
      </w:r>
      <w:r w:rsidR="00DC1E7E">
        <w:rPr>
          <w:lang w:val="sr-Latn-CS"/>
        </w:rPr>
        <w:t xml:space="preserve"> </w:t>
      </w:r>
      <w:r w:rsidR="00724368">
        <w:rPr>
          <w:lang w:val="sr-Latn-CS"/>
        </w:rPr>
        <w:t>pri čemu treba raskinuti dosadašnju povezanost ovakvog postupanja sa nelojalnošću i izdajom</w:t>
      </w:r>
      <w:r w:rsidR="00DC1E7E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>8.      </w:t>
      </w:r>
      <w:r w:rsidR="00794E19">
        <w:rPr>
          <w:lang w:val="sr-Latn-CS"/>
        </w:rPr>
        <w:t>Ona</w:t>
      </w:r>
      <w:r w:rsidR="00616DD7">
        <w:rPr>
          <w:lang w:val="sr-Latn-CS"/>
        </w:rPr>
        <w:t xml:space="preserve"> priznaje značajnu ulogu nevladinih organizacija u pozitivnom </w:t>
      </w:r>
      <w:r w:rsidR="00794E19">
        <w:rPr>
          <w:lang w:val="sr-Latn-CS"/>
        </w:rPr>
        <w:t>unapređenju</w:t>
      </w:r>
      <w:r w:rsidR="00616DD7">
        <w:rPr>
          <w:lang w:val="sr-Latn-CS"/>
        </w:rPr>
        <w:t xml:space="preserve"> opšteg stava prema „duvanju u pištaljku“ i u pružanju saveta poslodavcima koji žele da </w:t>
      </w:r>
      <w:r w:rsidR="00794E19">
        <w:rPr>
          <w:lang w:val="sr-Latn-CS"/>
        </w:rPr>
        <w:t>uspostave</w:t>
      </w:r>
      <w:r w:rsidR="00616DD7">
        <w:rPr>
          <w:lang w:val="sr-Latn-CS"/>
        </w:rPr>
        <w:t xml:space="preserve"> interne procedure za „duvanje u pištaljku“, potencijalnim insajderima i žrtvama </w:t>
      </w:r>
      <w:r w:rsidR="00616DD7" w:rsidRPr="00724368">
        <w:rPr>
          <w:lang w:val="sr-Latn-CS"/>
        </w:rPr>
        <w:t>odmazde</w:t>
      </w:r>
      <w:r w:rsidR="00616DD7">
        <w:rPr>
          <w:lang w:val="sr-Latn-CS"/>
        </w:rPr>
        <w:t>.</w:t>
      </w:r>
    </w:p>
    <w:p w:rsidR="00FD3613" w:rsidRPr="00326786" w:rsidRDefault="00FD3613" w:rsidP="00FD3613">
      <w:pPr>
        <w:pStyle w:val="NormalWeb"/>
        <w:rPr>
          <w:lang w:val="sr-Latn-CS"/>
        </w:rPr>
      </w:pPr>
      <w:r w:rsidRPr="00326786">
        <w:rPr>
          <w:lang w:val="sr-Latn-CS"/>
        </w:rPr>
        <w:t xml:space="preserve">9.       </w:t>
      </w:r>
      <w:r w:rsidR="00616DD7">
        <w:rPr>
          <w:lang w:val="sr-Latn-CS"/>
        </w:rPr>
        <w:t xml:space="preserve">Da bi </w:t>
      </w:r>
      <w:r w:rsidR="00794E19">
        <w:rPr>
          <w:lang w:val="sr-Latn-CS"/>
        </w:rPr>
        <w:t>sopstvenim primerom ukazala na pravi put</w:t>
      </w:r>
      <w:r w:rsidR="00616DD7">
        <w:rPr>
          <w:lang w:val="sr-Latn-CS"/>
        </w:rPr>
        <w:t xml:space="preserve">, </w:t>
      </w:r>
      <w:r w:rsidR="00DE5842">
        <w:rPr>
          <w:lang w:val="sr-Latn-CS"/>
        </w:rPr>
        <w:t>S</w:t>
      </w:r>
      <w:r w:rsidR="00616DD7">
        <w:rPr>
          <w:lang w:val="sr-Latn-CS"/>
        </w:rPr>
        <w:t xml:space="preserve">kupština poziva Savet Evrope da </w:t>
      </w:r>
      <w:r w:rsidR="00DE5842">
        <w:rPr>
          <w:lang w:val="sr-Latn-CS"/>
        </w:rPr>
        <w:t>uspostavi</w:t>
      </w:r>
      <w:r w:rsidR="00616DD7">
        <w:rPr>
          <w:lang w:val="sr-Latn-CS"/>
        </w:rPr>
        <w:t xml:space="preserve"> jaku internu proceduru za „duvanje u pištaljku“ koja će </w:t>
      </w:r>
      <w:r w:rsidR="00DE5842">
        <w:rPr>
          <w:lang w:val="sr-Latn-CS"/>
        </w:rPr>
        <w:t>se odnositi na</w:t>
      </w:r>
      <w:r w:rsidR="00616DD7">
        <w:rPr>
          <w:lang w:val="sr-Latn-CS"/>
        </w:rPr>
        <w:t xml:space="preserve"> sam Savet i sve njegove </w:t>
      </w:r>
      <w:r w:rsidR="00794E19">
        <w:rPr>
          <w:lang w:val="sr-Latn-CS"/>
        </w:rPr>
        <w:t>parcijalne sporazume</w:t>
      </w:r>
      <w:r w:rsidR="00616DD7">
        <w:rPr>
          <w:lang w:val="sr-Latn-CS"/>
        </w:rPr>
        <w:t>.</w:t>
      </w:r>
    </w:p>
    <w:p w:rsidR="00FD3613" w:rsidRPr="00326786" w:rsidRDefault="00FD3613" w:rsidP="00FD3613">
      <w:pPr>
        <w:rPr>
          <w:lang w:val="sr-Latn-CS"/>
        </w:rPr>
      </w:pPr>
      <w:r w:rsidRPr="00326786">
        <w:rPr>
          <w:lang w:val="sr-Latn-CS"/>
        </w:rPr>
        <w:pict>
          <v:rect id="_x0000_i1027" style="width:150pt;height:.75pt" o:hrpct="0" o:hrstd="t" o:hrnoshade="t" o:hr="t" fillcolor="#aca899" stroked="f"/>
        </w:pict>
      </w:r>
    </w:p>
    <w:bookmarkStart w:id="1" w:name="P15_91"/>
    <w:p w:rsidR="005257F1" w:rsidRPr="00C622F8" w:rsidRDefault="00FD3613" w:rsidP="00C622F8">
      <w:pPr>
        <w:pStyle w:val="NormalWeb"/>
        <w:rPr>
          <w:lang w:val="sr-Latn-CS"/>
        </w:rPr>
      </w:pPr>
      <w:r w:rsidRPr="00326786">
        <w:rPr>
          <w:vertAlign w:val="superscript"/>
        </w:rPr>
        <w:fldChar w:fldCharType="begin"/>
      </w:r>
      <w:r w:rsidRPr="00671503">
        <w:rPr>
          <w:vertAlign w:val="superscript"/>
          <w:lang w:val="sr-Latn-CS"/>
        </w:rPr>
        <w:instrText xml:space="preserve"> HYPERLINK "http://assembly.coe.int/Main.asp?link=/Documents/AdoptedText/ta10/ERES1729.htm" \l "P15_92" </w:instrText>
      </w:r>
      <w:r w:rsidRPr="00326786">
        <w:rPr>
          <w:vertAlign w:val="superscript"/>
        </w:rPr>
        <w:fldChar w:fldCharType="separate"/>
      </w:r>
      <w:r w:rsidRPr="00326786">
        <w:rPr>
          <w:rStyle w:val="Hyperlink"/>
          <w:vertAlign w:val="superscript"/>
          <w:lang w:val="sr-Latn-CS"/>
        </w:rPr>
        <w:t>1</w:t>
      </w:r>
      <w:r w:rsidRPr="00326786">
        <w:rPr>
          <w:vertAlign w:val="superscript"/>
        </w:rPr>
        <w:fldChar w:fldCharType="end"/>
      </w:r>
      <w:bookmarkEnd w:id="1"/>
      <w:r w:rsidRPr="00671503">
        <w:rPr>
          <w:vertAlign w:val="superscript"/>
          <w:lang w:val="sr-Latn-CS"/>
        </w:rPr>
        <w:t xml:space="preserve"> </w:t>
      </w:r>
      <w:r w:rsidR="00794E19" w:rsidRPr="00671503">
        <w:rPr>
          <w:i/>
          <w:iCs/>
          <w:lang w:val="sr-Latn-CS"/>
        </w:rPr>
        <w:t xml:space="preserve">Debata Skupštine </w:t>
      </w:r>
      <w:r w:rsidR="00794E19" w:rsidRPr="00671503">
        <w:rPr>
          <w:iCs/>
          <w:lang w:val="sr-Latn-CS"/>
        </w:rPr>
        <w:t xml:space="preserve">održana 29. aprila 2010. (17. zasedanje) </w:t>
      </w:r>
      <w:r w:rsidR="00794E19" w:rsidRPr="00671503">
        <w:rPr>
          <w:lang w:val="sr-Latn-CS"/>
        </w:rPr>
        <w:t xml:space="preserve">(vidi </w:t>
      </w:r>
      <w:hyperlink r:id="rId6" w:history="1">
        <w:r w:rsidR="00794E19" w:rsidRPr="00326786">
          <w:rPr>
            <w:rStyle w:val="Hyperlink"/>
            <w:lang w:val="sr-Latn-CS"/>
          </w:rPr>
          <w:t>Doc. 12006</w:t>
        </w:r>
      </w:hyperlink>
      <w:r w:rsidR="00794E19" w:rsidRPr="00671503">
        <w:rPr>
          <w:lang w:val="sr-Latn-CS"/>
        </w:rPr>
        <w:t xml:space="preserve">, izveštaj Komiteta za pravna pitanja i ljudska prava, izvestilac: g. Omtzigt). </w:t>
      </w:r>
      <w:r w:rsidR="00794E19">
        <w:rPr>
          <w:i/>
        </w:rPr>
        <w:t xml:space="preserve">Tekst je usvojila Skupština </w:t>
      </w:r>
      <w:r w:rsidR="00794E19">
        <w:t>29. aprila 2010. (17. zasedanje).</w:t>
      </w:r>
    </w:p>
    <w:sectPr w:rsidR="005257F1" w:rsidRPr="00C62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compat/>
  <w:rsids>
    <w:rsidRoot w:val="00FD3613"/>
    <w:rsid w:val="00000353"/>
    <w:rsid w:val="00001CFA"/>
    <w:rsid w:val="00001F2D"/>
    <w:rsid w:val="00002C61"/>
    <w:rsid w:val="00006A5A"/>
    <w:rsid w:val="000071CD"/>
    <w:rsid w:val="0000778A"/>
    <w:rsid w:val="000112ED"/>
    <w:rsid w:val="00012017"/>
    <w:rsid w:val="0001245E"/>
    <w:rsid w:val="00015240"/>
    <w:rsid w:val="0001707D"/>
    <w:rsid w:val="000232A3"/>
    <w:rsid w:val="000270A4"/>
    <w:rsid w:val="00031F6F"/>
    <w:rsid w:val="00032E52"/>
    <w:rsid w:val="00034249"/>
    <w:rsid w:val="00034798"/>
    <w:rsid w:val="0003512C"/>
    <w:rsid w:val="00036575"/>
    <w:rsid w:val="00037FA9"/>
    <w:rsid w:val="00040A8C"/>
    <w:rsid w:val="000416E4"/>
    <w:rsid w:val="000420FE"/>
    <w:rsid w:val="000421B0"/>
    <w:rsid w:val="00042C1D"/>
    <w:rsid w:val="00042C20"/>
    <w:rsid w:val="00044AF8"/>
    <w:rsid w:val="000458B0"/>
    <w:rsid w:val="00046700"/>
    <w:rsid w:val="00046822"/>
    <w:rsid w:val="00051445"/>
    <w:rsid w:val="000519D7"/>
    <w:rsid w:val="00053A5F"/>
    <w:rsid w:val="00054DF9"/>
    <w:rsid w:val="00057702"/>
    <w:rsid w:val="000602FB"/>
    <w:rsid w:val="00060DFC"/>
    <w:rsid w:val="000633B3"/>
    <w:rsid w:val="00063F34"/>
    <w:rsid w:val="00066170"/>
    <w:rsid w:val="00070FD0"/>
    <w:rsid w:val="00071331"/>
    <w:rsid w:val="000730C1"/>
    <w:rsid w:val="00074B76"/>
    <w:rsid w:val="000758FC"/>
    <w:rsid w:val="000803AF"/>
    <w:rsid w:val="0008298D"/>
    <w:rsid w:val="00082F08"/>
    <w:rsid w:val="00084CCD"/>
    <w:rsid w:val="000859DC"/>
    <w:rsid w:val="00085C8D"/>
    <w:rsid w:val="00087224"/>
    <w:rsid w:val="00087282"/>
    <w:rsid w:val="00090874"/>
    <w:rsid w:val="00091463"/>
    <w:rsid w:val="0009147B"/>
    <w:rsid w:val="00092A06"/>
    <w:rsid w:val="00095E27"/>
    <w:rsid w:val="000970D7"/>
    <w:rsid w:val="000A0ACD"/>
    <w:rsid w:val="000A248A"/>
    <w:rsid w:val="000A44A1"/>
    <w:rsid w:val="000A69A2"/>
    <w:rsid w:val="000B2189"/>
    <w:rsid w:val="000B4AF1"/>
    <w:rsid w:val="000B4D32"/>
    <w:rsid w:val="000B6784"/>
    <w:rsid w:val="000C0CD5"/>
    <w:rsid w:val="000C1524"/>
    <w:rsid w:val="000C3181"/>
    <w:rsid w:val="000C32B2"/>
    <w:rsid w:val="000C354D"/>
    <w:rsid w:val="000C46B9"/>
    <w:rsid w:val="000C64BE"/>
    <w:rsid w:val="000C6DF1"/>
    <w:rsid w:val="000C7BD0"/>
    <w:rsid w:val="000C7FB7"/>
    <w:rsid w:val="000D0EC5"/>
    <w:rsid w:val="000D25AF"/>
    <w:rsid w:val="000D362F"/>
    <w:rsid w:val="000D3BD2"/>
    <w:rsid w:val="000D45E3"/>
    <w:rsid w:val="000D4D56"/>
    <w:rsid w:val="000D5F03"/>
    <w:rsid w:val="000D6EA4"/>
    <w:rsid w:val="000D7B12"/>
    <w:rsid w:val="000D7C67"/>
    <w:rsid w:val="000E2D98"/>
    <w:rsid w:val="000E3B4D"/>
    <w:rsid w:val="000E4285"/>
    <w:rsid w:val="000E46C0"/>
    <w:rsid w:val="000E51AB"/>
    <w:rsid w:val="000E7270"/>
    <w:rsid w:val="000E73D0"/>
    <w:rsid w:val="000F05AC"/>
    <w:rsid w:val="000F1A10"/>
    <w:rsid w:val="000F2D6D"/>
    <w:rsid w:val="000F4213"/>
    <w:rsid w:val="000F5A5F"/>
    <w:rsid w:val="000F79DF"/>
    <w:rsid w:val="00100C58"/>
    <w:rsid w:val="0010585B"/>
    <w:rsid w:val="00106D71"/>
    <w:rsid w:val="001078C1"/>
    <w:rsid w:val="001079AF"/>
    <w:rsid w:val="00107C26"/>
    <w:rsid w:val="00110D73"/>
    <w:rsid w:val="0011103E"/>
    <w:rsid w:val="00111BCE"/>
    <w:rsid w:val="00113A63"/>
    <w:rsid w:val="00114A9B"/>
    <w:rsid w:val="00114E17"/>
    <w:rsid w:val="00116131"/>
    <w:rsid w:val="00116C9D"/>
    <w:rsid w:val="00117D62"/>
    <w:rsid w:val="00121F44"/>
    <w:rsid w:val="0012294F"/>
    <w:rsid w:val="001246A3"/>
    <w:rsid w:val="001261BC"/>
    <w:rsid w:val="00126E07"/>
    <w:rsid w:val="00127D05"/>
    <w:rsid w:val="001325F5"/>
    <w:rsid w:val="00132D36"/>
    <w:rsid w:val="00134CB5"/>
    <w:rsid w:val="001375A9"/>
    <w:rsid w:val="00140214"/>
    <w:rsid w:val="00140D4A"/>
    <w:rsid w:val="00141F02"/>
    <w:rsid w:val="001420CE"/>
    <w:rsid w:val="00142865"/>
    <w:rsid w:val="001428E9"/>
    <w:rsid w:val="00142FBB"/>
    <w:rsid w:val="00143BB0"/>
    <w:rsid w:val="00144488"/>
    <w:rsid w:val="00144D12"/>
    <w:rsid w:val="00144DF7"/>
    <w:rsid w:val="001457DE"/>
    <w:rsid w:val="00145F50"/>
    <w:rsid w:val="00150378"/>
    <w:rsid w:val="00150967"/>
    <w:rsid w:val="00153606"/>
    <w:rsid w:val="00153D9D"/>
    <w:rsid w:val="00156638"/>
    <w:rsid w:val="0015771F"/>
    <w:rsid w:val="00161BB0"/>
    <w:rsid w:val="00162AA9"/>
    <w:rsid w:val="00164945"/>
    <w:rsid w:val="00165874"/>
    <w:rsid w:val="00167344"/>
    <w:rsid w:val="001709B4"/>
    <w:rsid w:val="001716F1"/>
    <w:rsid w:val="00171B14"/>
    <w:rsid w:val="00172510"/>
    <w:rsid w:val="00173635"/>
    <w:rsid w:val="00174745"/>
    <w:rsid w:val="00174BE2"/>
    <w:rsid w:val="00174E73"/>
    <w:rsid w:val="001758FB"/>
    <w:rsid w:val="00175F79"/>
    <w:rsid w:val="0017699D"/>
    <w:rsid w:val="0018081C"/>
    <w:rsid w:val="0018184B"/>
    <w:rsid w:val="00181903"/>
    <w:rsid w:val="00181E3D"/>
    <w:rsid w:val="00182A46"/>
    <w:rsid w:val="00184B70"/>
    <w:rsid w:val="00185A12"/>
    <w:rsid w:val="001863F8"/>
    <w:rsid w:val="00190CC8"/>
    <w:rsid w:val="001915AD"/>
    <w:rsid w:val="00191619"/>
    <w:rsid w:val="00191866"/>
    <w:rsid w:val="00191C3A"/>
    <w:rsid w:val="001921A2"/>
    <w:rsid w:val="00192BBA"/>
    <w:rsid w:val="001965F2"/>
    <w:rsid w:val="00197443"/>
    <w:rsid w:val="00197D5D"/>
    <w:rsid w:val="001A1E76"/>
    <w:rsid w:val="001A227D"/>
    <w:rsid w:val="001A6E2A"/>
    <w:rsid w:val="001A6EE4"/>
    <w:rsid w:val="001A72D4"/>
    <w:rsid w:val="001A7909"/>
    <w:rsid w:val="001B13B8"/>
    <w:rsid w:val="001B1ECE"/>
    <w:rsid w:val="001B7CCD"/>
    <w:rsid w:val="001C13EB"/>
    <w:rsid w:val="001C3087"/>
    <w:rsid w:val="001C3E86"/>
    <w:rsid w:val="001C496F"/>
    <w:rsid w:val="001C5088"/>
    <w:rsid w:val="001C508F"/>
    <w:rsid w:val="001C69C1"/>
    <w:rsid w:val="001C6CC2"/>
    <w:rsid w:val="001D1B8E"/>
    <w:rsid w:val="001D52F5"/>
    <w:rsid w:val="001D6434"/>
    <w:rsid w:val="001D6620"/>
    <w:rsid w:val="001D793A"/>
    <w:rsid w:val="001E1966"/>
    <w:rsid w:val="001E2047"/>
    <w:rsid w:val="001E2E36"/>
    <w:rsid w:val="001E544E"/>
    <w:rsid w:val="001E7015"/>
    <w:rsid w:val="001E707E"/>
    <w:rsid w:val="001E73A3"/>
    <w:rsid w:val="001E78C5"/>
    <w:rsid w:val="001F14F9"/>
    <w:rsid w:val="001F17AA"/>
    <w:rsid w:val="001F3A9B"/>
    <w:rsid w:val="001F3CB8"/>
    <w:rsid w:val="001F4F43"/>
    <w:rsid w:val="001F5844"/>
    <w:rsid w:val="001F5DA8"/>
    <w:rsid w:val="001F7455"/>
    <w:rsid w:val="001F7F8E"/>
    <w:rsid w:val="0020189B"/>
    <w:rsid w:val="0020330E"/>
    <w:rsid w:val="00204D84"/>
    <w:rsid w:val="00205A97"/>
    <w:rsid w:val="00206F3D"/>
    <w:rsid w:val="002109FD"/>
    <w:rsid w:val="00214B74"/>
    <w:rsid w:val="00215006"/>
    <w:rsid w:val="00216831"/>
    <w:rsid w:val="00220C12"/>
    <w:rsid w:val="00222A6E"/>
    <w:rsid w:val="00222FCA"/>
    <w:rsid w:val="00223058"/>
    <w:rsid w:val="002257DE"/>
    <w:rsid w:val="00226051"/>
    <w:rsid w:val="0023011E"/>
    <w:rsid w:val="00232D01"/>
    <w:rsid w:val="00233BFA"/>
    <w:rsid w:val="0023459A"/>
    <w:rsid w:val="00234B38"/>
    <w:rsid w:val="00234BD0"/>
    <w:rsid w:val="00235DFF"/>
    <w:rsid w:val="00240199"/>
    <w:rsid w:val="00240535"/>
    <w:rsid w:val="00241735"/>
    <w:rsid w:val="0024288A"/>
    <w:rsid w:val="0024565E"/>
    <w:rsid w:val="00246069"/>
    <w:rsid w:val="00246360"/>
    <w:rsid w:val="0024703A"/>
    <w:rsid w:val="002474FC"/>
    <w:rsid w:val="002505CF"/>
    <w:rsid w:val="00250A44"/>
    <w:rsid w:val="00250E2B"/>
    <w:rsid w:val="00250F99"/>
    <w:rsid w:val="00252F7E"/>
    <w:rsid w:val="002540D8"/>
    <w:rsid w:val="0025424A"/>
    <w:rsid w:val="00260DF0"/>
    <w:rsid w:val="0026157B"/>
    <w:rsid w:val="002631E4"/>
    <w:rsid w:val="0026448D"/>
    <w:rsid w:val="00264972"/>
    <w:rsid w:val="00264AF3"/>
    <w:rsid w:val="00264FC3"/>
    <w:rsid w:val="00265215"/>
    <w:rsid w:val="002654B1"/>
    <w:rsid w:val="00270114"/>
    <w:rsid w:val="00271944"/>
    <w:rsid w:val="002742A2"/>
    <w:rsid w:val="002746FD"/>
    <w:rsid w:val="00274E08"/>
    <w:rsid w:val="002754D0"/>
    <w:rsid w:val="002757AE"/>
    <w:rsid w:val="00275990"/>
    <w:rsid w:val="002763F2"/>
    <w:rsid w:val="00280744"/>
    <w:rsid w:val="00280923"/>
    <w:rsid w:val="00282ADC"/>
    <w:rsid w:val="0028341E"/>
    <w:rsid w:val="002853AD"/>
    <w:rsid w:val="002855C8"/>
    <w:rsid w:val="00285CF0"/>
    <w:rsid w:val="002904F0"/>
    <w:rsid w:val="0029091D"/>
    <w:rsid w:val="00291A2F"/>
    <w:rsid w:val="0029325A"/>
    <w:rsid w:val="002938AD"/>
    <w:rsid w:val="00295015"/>
    <w:rsid w:val="00296FB4"/>
    <w:rsid w:val="0029731D"/>
    <w:rsid w:val="002A2BEF"/>
    <w:rsid w:val="002A2D81"/>
    <w:rsid w:val="002A4ADD"/>
    <w:rsid w:val="002A4E02"/>
    <w:rsid w:val="002A5766"/>
    <w:rsid w:val="002A675D"/>
    <w:rsid w:val="002B094B"/>
    <w:rsid w:val="002B1B7C"/>
    <w:rsid w:val="002B2B25"/>
    <w:rsid w:val="002B46E9"/>
    <w:rsid w:val="002B518E"/>
    <w:rsid w:val="002B57A4"/>
    <w:rsid w:val="002B637D"/>
    <w:rsid w:val="002B674E"/>
    <w:rsid w:val="002B70EB"/>
    <w:rsid w:val="002C0B8A"/>
    <w:rsid w:val="002C0D0C"/>
    <w:rsid w:val="002C0ECB"/>
    <w:rsid w:val="002C2372"/>
    <w:rsid w:val="002C3123"/>
    <w:rsid w:val="002C3179"/>
    <w:rsid w:val="002C6F81"/>
    <w:rsid w:val="002D0477"/>
    <w:rsid w:val="002D3405"/>
    <w:rsid w:val="002D7226"/>
    <w:rsid w:val="002D79A5"/>
    <w:rsid w:val="002D7A2C"/>
    <w:rsid w:val="002E2D25"/>
    <w:rsid w:val="002E773C"/>
    <w:rsid w:val="002F0EDC"/>
    <w:rsid w:val="002F153E"/>
    <w:rsid w:val="002F2275"/>
    <w:rsid w:val="002F270B"/>
    <w:rsid w:val="002F29A5"/>
    <w:rsid w:val="002F2A33"/>
    <w:rsid w:val="002F4087"/>
    <w:rsid w:val="002F409E"/>
    <w:rsid w:val="002F6A2E"/>
    <w:rsid w:val="002F7C82"/>
    <w:rsid w:val="003034E2"/>
    <w:rsid w:val="00306EAC"/>
    <w:rsid w:val="00310343"/>
    <w:rsid w:val="003160FF"/>
    <w:rsid w:val="00317B80"/>
    <w:rsid w:val="0032337E"/>
    <w:rsid w:val="003259F7"/>
    <w:rsid w:val="00326786"/>
    <w:rsid w:val="00327161"/>
    <w:rsid w:val="00330304"/>
    <w:rsid w:val="003321A5"/>
    <w:rsid w:val="003329B6"/>
    <w:rsid w:val="00333A16"/>
    <w:rsid w:val="003347E0"/>
    <w:rsid w:val="00334C46"/>
    <w:rsid w:val="00334DC3"/>
    <w:rsid w:val="00335EB1"/>
    <w:rsid w:val="0033695E"/>
    <w:rsid w:val="00337545"/>
    <w:rsid w:val="0034098E"/>
    <w:rsid w:val="00340CB6"/>
    <w:rsid w:val="00342002"/>
    <w:rsid w:val="00342795"/>
    <w:rsid w:val="00343FC1"/>
    <w:rsid w:val="0034441C"/>
    <w:rsid w:val="003458CD"/>
    <w:rsid w:val="00346C6D"/>
    <w:rsid w:val="00346DC0"/>
    <w:rsid w:val="00347539"/>
    <w:rsid w:val="00350987"/>
    <w:rsid w:val="0035114B"/>
    <w:rsid w:val="00351902"/>
    <w:rsid w:val="00352834"/>
    <w:rsid w:val="00354FB4"/>
    <w:rsid w:val="00356CDF"/>
    <w:rsid w:val="00356E5A"/>
    <w:rsid w:val="0035761C"/>
    <w:rsid w:val="003577D4"/>
    <w:rsid w:val="00360309"/>
    <w:rsid w:val="00361110"/>
    <w:rsid w:val="003617EC"/>
    <w:rsid w:val="00363D35"/>
    <w:rsid w:val="00364ADE"/>
    <w:rsid w:val="00365E7D"/>
    <w:rsid w:val="00365ED8"/>
    <w:rsid w:val="00366C17"/>
    <w:rsid w:val="003672DD"/>
    <w:rsid w:val="0036795C"/>
    <w:rsid w:val="00367EE9"/>
    <w:rsid w:val="00371241"/>
    <w:rsid w:val="00371D53"/>
    <w:rsid w:val="003731AE"/>
    <w:rsid w:val="00374B38"/>
    <w:rsid w:val="003754E0"/>
    <w:rsid w:val="00376B28"/>
    <w:rsid w:val="00376B81"/>
    <w:rsid w:val="00377331"/>
    <w:rsid w:val="0038076C"/>
    <w:rsid w:val="0038190A"/>
    <w:rsid w:val="003847C6"/>
    <w:rsid w:val="00384910"/>
    <w:rsid w:val="00385BFA"/>
    <w:rsid w:val="00386B05"/>
    <w:rsid w:val="00391C8A"/>
    <w:rsid w:val="0039215C"/>
    <w:rsid w:val="00393512"/>
    <w:rsid w:val="00393EA0"/>
    <w:rsid w:val="0039455A"/>
    <w:rsid w:val="003A0257"/>
    <w:rsid w:val="003A1761"/>
    <w:rsid w:val="003A1EB8"/>
    <w:rsid w:val="003A2546"/>
    <w:rsid w:val="003A27EE"/>
    <w:rsid w:val="003B26C8"/>
    <w:rsid w:val="003B30C0"/>
    <w:rsid w:val="003B3CE6"/>
    <w:rsid w:val="003B44B8"/>
    <w:rsid w:val="003B46BA"/>
    <w:rsid w:val="003B57CB"/>
    <w:rsid w:val="003B64FF"/>
    <w:rsid w:val="003B782D"/>
    <w:rsid w:val="003C1AB2"/>
    <w:rsid w:val="003C2821"/>
    <w:rsid w:val="003C36B7"/>
    <w:rsid w:val="003C3D41"/>
    <w:rsid w:val="003C4222"/>
    <w:rsid w:val="003C452D"/>
    <w:rsid w:val="003C52C7"/>
    <w:rsid w:val="003C5A76"/>
    <w:rsid w:val="003C68B2"/>
    <w:rsid w:val="003C6AFC"/>
    <w:rsid w:val="003C6DAB"/>
    <w:rsid w:val="003D0F73"/>
    <w:rsid w:val="003D13D9"/>
    <w:rsid w:val="003D1AFE"/>
    <w:rsid w:val="003D24CC"/>
    <w:rsid w:val="003D3239"/>
    <w:rsid w:val="003D5541"/>
    <w:rsid w:val="003D60BC"/>
    <w:rsid w:val="003D769A"/>
    <w:rsid w:val="003E05AA"/>
    <w:rsid w:val="003E0BEF"/>
    <w:rsid w:val="003E2302"/>
    <w:rsid w:val="003E52CC"/>
    <w:rsid w:val="003E564A"/>
    <w:rsid w:val="003E6088"/>
    <w:rsid w:val="003E72D7"/>
    <w:rsid w:val="003F0500"/>
    <w:rsid w:val="003F1A06"/>
    <w:rsid w:val="00400095"/>
    <w:rsid w:val="00401B3F"/>
    <w:rsid w:val="00405F25"/>
    <w:rsid w:val="004074A9"/>
    <w:rsid w:val="004104FD"/>
    <w:rsid w:val="004108B2"/>
    <w:rsid w:val="00410D16"/>
    <w:rsid w:val="00412487"/>
    <w:rsid w:val="00414B4C"/>
    <w:rsid w:val="00420CBB"/>
    <w:rsid w:val="00420FD3"/>
    <w:rsid w:val="00422F4F"/>
    <w:rsid w:val="00423CDC"/>
    <w:rsid w:val="0042565D"/>
    <w:rsid w:val="0043009F"/>
    <w:rsid w:val="004312AF"/>
    <w:rsid w:val="004315EC"/>
    <w:rsid w:val="004325E2"/>
    <w:rsid w:val="004343B2"/>
    <w:rsid w:val="00437684"/>
    <w:rsid w:val="00440690"/>
    <w:rsid w:val="00444236"/>
    <w:rsid w:val="004444A6"/>
    <w:rsid w:val="00447599"/>
    <w:rsid w:val="00447F60"/>
    <w:rsid w:val="00450876"/>
    <w:rsid w:val="00451586"/>
    <w:rsid w:val="00452ABB"/>
    <w:rsid w:val="00453407"/>
    <w:rsid w:val="00454ACF"/>
    <w:rsid w:val="00455D9D"/>
    <w:rsid w:val="00455DF6"/>
    <w:rsid w:val="004603FA"/>
    <w:rsid w:val="00463523"/>
    <w:rsid w:val="00464B07"/>
    <w:rsid w:val="00464F5D"/>
    <w:rsid w:val="0046688A"/>
    <w:rsid w:val="00471271"/>
    <w:rsid w:val="00471711"/>
    <w:rsid w:val="004721F4"/>
    <w:rsid w:val="0047277B"/>
    <w:rsid w:val="00472C63"/>
    <w:rsid w:val="00473E82"/>
    <w:rsid w:val="00474515"/>
    <w:rsid w:val="0047471E"/>
    <w:rsid w:val="00475158"/>
    <w:rsid w:val="00475247"/>
    <w:rsid w:val="00476CDA"/>
    <w:rsid w:val="0048054E"/>
    <w:rsid w:val="0048066B"/>
    <w:rsid w:val="00480D19"/>
    <w:rsid w:val="004835B0"/>
    <w:rsid w:val="00483986"/>
    <w:rsid w:val="00483E22"/>
    <w:rsid w:val="00487ACF"/>
    <w:rsid w:val="004906FD"/>
    <w:rsid w:val="004924EC"/>
    <w:rsid w:val="00492A07"/>
    <w:rsid w:val="004932E2"/>
    <w:rsid w:val="00494328"/>
    <w:rsid w:val="0049460D"/>
    <w:rsid w:val="00495D7C"/>
    <w:rsid w:val="00495F2B"/>
    <w:rsid w:val="00495F9E"/>
    <w:rsid w:val="004978C3"/>
    <w:rsid w:val="004A131A"/>
    <w:rsid w:val="004A1BD2"/>
    <w:rsid w:val="004A33B4"/>
    <w:rsid w:val="004A3DBC"/>
    <w:rsid w:val="004A3DD8"/>
    <w:rsid w:val="004A5FB9"/>
    <w:rsid w:val="004A690F"/>
    <w:rsid w:val="004B0DF4"/>
    <w:rsid w:val="004B198A"/>
    <w:rsid w:val="004B2090"/>
    <w:rsid w:val="004B32A5"/>
    <w:rsid w:val="004B3760"/>
    <w:rsid w:val="004B7218"/>
    <w:rsid w:val="004C0BB5"/>
    <w:rsid w:val="004C0CE3"/>
    <w:rsid w:val="004C2F6F"/>
    <w:rsid w:val="004C3DFB"/>
    <w:rsid w:val="004C58BE"/>
    <w:rsid w:val="004C6D60"/>
    <w:rsid w:val="004C7A3B"/>
    <w:rsid w:val="004D05CE"/>
    <w:rsid w:val="004D39DC"/>
    <w:rsid w:val="004D52A3"/>
    <w:rsid w:val="004D580B"/>
    <w:rsid w:val="004D6944"/>
    <w:rsid w:val="004D6F47"/>
    <w:rsid w:val="004E1679"/>
    <w:rsid w:val="004E167C"/>
    <w:rsid w:val="004E1923"/>
    <w:rsid w:val="004E25BB"/>
    <w:rsid w:val="004E33F3"/>
    <w:rsid w:val="004E3439"/>
    <w:rsid w:val="004E4EC7"/>
    <w:rsid w:val="004E5DA9"/>
    <w:rsid w:val="004E5DFA"/>
    <w:rsid w:val="004E7027"/>
    <w:rsid w:val="004F0780"/>
    <w:rsid w:val="004F199E"/>
    <w:rsid w:val="004F1EA7"/>
    <w:rsid w:val="004F2EA8"/>
    <w:rsid w:val="004F2FE1"/>
    <w:rsid w:val="004F3215"/>
    <w:rsid w:val="004F3235"/>
    <w:rsid w:val="004F34F3"/>
    <w:rsid w:val="004F5D85"/>
    <w:rsid w:val="004F6797"/>
    <w:rsid w:val="004F6886"/>
    <w:rsid w:val="004F76ED"/>
    <w:rsid w:val="00501753"/>
    <w:rsid w:val="005034AE"/>
    <w:rsid w:val="0050352F"/>
    <w:rsid w:val="00503951"/>
    <w:rsid w:val="005042F4"/>
    <w:rsid w:val="005043FE"/>
    <w:rsid w:val="00504557"/>
    <w:rsid w:val="0050514F"/>
    <w:rsid w:val="00505603"/>
    <w:rsid w:val="005060D8"/>
    <w:rsid w:val="00506385"/>
    <w:rsid w:val="00506482"/>
    <w:rsid w:val="0050726A"/>
    <w:rsid w:val="00510A67"/>
    <w:rsid w:val="0051381E"/>
    <w:rsid w:val="005159FC"/>
    <w:rsid w:val="00515ECD"/>
    <w:rsid w:val="00516F06"/>
    <w:rsid w:val="005214E9"/>
    <w:rsid w:val="00521988"/>
    <w:rsid w:val="0052314B"/>
    <w:rsid w:val="00523304"/>
    <w:rsid w:val="00523547"/>
    <w:rsid w:val="00524D47"/>
    <w:rsid w:val="00524DD9"/>
    <w:rsid w:val="005257F1"/>
    <w:rsid w:val="005270D7"/>
    <w:rsid w:val="0052728C"/>
    <w:rsid w:val="005277E7"/>
    <w:rsid w:val="0053060C"/>
    <w:rsid w:val="00532D55"/>
    <w:rsid w:val="0053433E"/>
    <w:rsid w:val="00536868"/>
    <w:rsid w:val="005405B0"/>
    <w:rsid w:val="00540A4E"/>
    <w:rsid w:val="005418DC"/>
    <w:rsid w:val="005435CB"/>
    <w:rsid w:val="00545EC2"/>
    <w:rsid w:val="0054690A"/>
    <w:rsid w:val="00550741"/>
    <w:rsid w:val="005531B9"/>
    <w:rsid w:val="005562E8"/>
    <w:rsid w:val="0055655E"/>
    <w:rsid w:val="00556E4D"/>
    <w:rsid w:val="00560492"/>
    <w:rsid w:val="00560D27"/>
    <w:rsid w:val="00562FEB"/>
    <w:rsid w:val="00563B17"/>
    <w:rsid w:val="005647B0"/>
    <w:rsid w:val="005672AF"/>
    <w:rsid w:val="00567E48"/>
    <w:rsid w:val="005707D1"/>
    <w:rsid w:val="00571160"/>
    <w:rsid w:val="00571ADA"/>
    <w:rsid w:val="00571E2D"/>
    <w:rsid w:val="005728C4"/>
    <w:rsid w:val="0057298C"/>
    <w:rsid w:val="00572ADA"/>
    <w:rsid w:val="00573FC9"/>
    <w:rsid w:val="005764C6"/>
    <w:rsid w:val="00584B5E"/>
    <w:rsid w:val="00584C0F"/>
    <w:rsid w:val="005857E5"/>
    <w:rsid w:val="00586DE2"/>
    <w:rsid w:val="0059160C"/>
    <w:rsid w:val="00592B79"/>
    <w:rsid w:val="00592E30"/>
    <w:rsid w:val="00593B70"/>
    <w:rsid w:val="00594322"/>
    <w:rsid w:val="005970BC"/>
    <w:rsid w:val="005A0F70"/>
    <w:rsid w:val="005A0F9F"/>
    <w:rsid w:val="005A19E2"/>
    <w:rsid w:val="005A2B4C"/>
    <w:rsid w:val="005A3298"/>
    <w:rsid w:val="005A6095"/>
    <w:rsid w:val="005A7101"/>
    <w:rsid w:val="005A7A35"/>
    <w:rsid w:val="005B030C"/>
    <w:rsid w:val="005B0B9A"/>
    <w:rsid w:val="005B1A93"/>
    <w:rsid w:val="005B226C"/>
    <w:rsid w:val="005B2547"/>
    <w:rsid w:val="005B2963"/>
    <w:rsid w:val="005B3CC7"/>
    <w:rsid w:val="005B6AC2"/>
    <w:rsid w:val="005B7F3F"/>
    <w:rsid w:val="005C0479"/>
    <w:rsid w:val="005C1B88"/>
    <w:rsid w:val="005C204E"/>
    <w:rsid w:val="005C20BE"/>
    <w:rsid w:val="005C2ACB"/>
    <w:rsid w:val="005C6690"/>
    <w:rsid w:val="005C7174"/>
    <w:rsid w:val="005C7E29"/>
    <w:rsid w:val="005D03E1"/>
    <w:rsid w:val="005D0827"/>
    <w:rsid w:val="005D1BFE"/>
    <w:rsid w:val="005D1EFF"/>
    <w:rsid w:val="005D286F"/>
    <w:rsid w:val="005D344C"/>
    <w:rsid w:val="005D3E9E"/>
    <w:rsid w:val="005D682F"/>
    <w:rsid w:val="005D6A1C"/>
    <w:rsid w:val="005E0FD1"/>
    <w:rsid w:val="005E14CD"/>
    <w:rsid w:val="005E17E0"/>
    <w:rsid w:val="005E1884"/>
    <w:rsid w:val="005E37F2"/>
    <w:rsid w:val="005E4737"/>
    <w:rsid w:val="005E5629"/>
    <w:rsid w:val="005E5A42"/>
    <w:rsid w:val="005E603C"/>
    <w:rsid w:val="005F1884"/>
    <w:rsid w:val="005F23A6"/>
    <w:rsid w:val="005F5C8F"/>
    <w:rsid w:val="005F5FCB"/>
    <w:rsid w:val="005F67F5"/>
    <w:rsid w:val="00600364"/>
    <w:rsid w:val="006003EA"/>
    <w:rsid w:val="00600DB2"/>
    <w:rsid w:val="00601815"/>
    <w:rsid w:val="0060323C"/>
    <w:rsid w:val="006048C0"/>
    <w:rsid w:val="00604AFA"/>
    <w:rsid w:val="00605C90"/>
    <w:rsid w:val="00606437"/>
    <w:rsid w:val="00612047"/>
    <w:rsid w:val="006121AF"/>
    <w:rsid w:val="00613197"/>
    <w:rsid w:val="006142B7"/>
    <w:rsid w:val="0061511E"/>
    <w:rsid w:val="006169CE"/>
    <w:rsid w:val="00616DD7"/>
    <w:rsid w:val="0061754A"/>
    <w:rsid w:val="00621644"/>
    <w:rsid w:val="006251AC"/>
    <w:rsid w:val="006260EF"/>
    <w:rsid w:val="0062610F"/>
    <w:rsid w:val="006262EA"/>
    <w:rsid w:val="006275D5"/>
    <w:rsid w:val="00627BFD"/>
    <w:rsid w:val="00630DE6"/>
    <w:rsid w:val="00631193"/>
    <w:rsid w:val="00631C9B"/>
    <w:rsid w:val="0063202F"/>
    <w:rsid w:val="00632150"/>
    <w:rsid w:val="00634FA2"/>
    <w:rsid w:val="00635B1E"/>
    <w:rsid w:val="006360CF"/>
    <w:rsid w:val="006367E3"/>
    <w:rsid w:val="00637740"/>
    <w:rsid w:val="006420AE"/>
    <w:rsid w:val="00642DAC"/>
    <w:rsid w:val="006455C6"/>
    <w:rsid w:val="00645C63"/>
    <w:rsid w:val="00647D7F"/>
    <w:rsid w:val="00651322"/>
    <w:rsid w:val="006513CE"/>
    <w:rsid w:val="006541F6"/>
    <w:rsid w:val="00654DD8"/>
    <w:rsid w:val="006557B9"/>
    <w:rsid w:val="00657E00"/>
    <w:rsid w:val="00664F8C"/>
    <w:rsid w:val="006669B2"/>
    <w:rsid w:val="00666E95"/>
    <w:rsid w:val="0066749A"/>
    <w:rsid w:val="00667B0B"/>
    <w:rsid w:val="00667E0E"/>
    <w:rsid w:val="0067010C"/>
    <w:rsid w:val="00671503"/>
    <w:rsid w:val="006718D3"/>
    <w:rsid w:val="006721D0"/>
    <w:rsid w:val="00672A4A"/>
    <w:rsid w:val="00672C72"/>
    <w:rsid w:val="00672CFD"/>
    <w:rsid w:val="00674450"/>
    <w:rsid w:val="006746BA"/>
    <w:rsid w:val="006755DF"/>
    <w:rsid w:val="00677B53"/>
    <w:rsid w:val="00680B4B"/>
    <w:rsid w:val="00681EBA"/>
    <w:rsid w:val="00682840"/>
    <w:rsid w:val="00682974"/>
    <w:rsid w:val="0068472E"/>
    <w:rsid w:val="00685545"/>
    <w:rsid w:val="006904E1"/>
    <w:rsid w:val="00690768"/>
    <w:rsid w:val="006909BE"/>
    <w:rsid w:val="00694036"/>
    <w:rsid w:val="00697B91"/>
    <w:rsid w:val="006A0BC3"/>
    <w:rsid w:val="006A3CC4"/>
    <w:rsid w:val="006A69FB"/>
    <w:rsid w:val="006A6C30"/>
    <w:rsid w:val="006A7599"/>
    <w:rsid w:val="006B0236"/>
    <w:rsid w:val="006B2298"/>
    <w:rsid w:val="006B326E"/>
    <w:rsid w:val="006B4795"/>
    <w:rsid w:val="006B4921"/>
    <w:rsid w:val="006B4A6E"/>
    <w:rsid w:val="006B4FD1"/>
    <w:rsid w:val="006B5650"/>
    <w:rsid w:val="006B72A7"/>
    <w:rsid w:val="006C0040"/>
    <w:rsid w:val="006C0A8B"/>
    <w:rsid w:val="006C3637"/>
    <w:rsid w:val="006C41DD"/>
    <w:rsid w:val="006C4235"/>
    <w:rsid w:val="006C4865"/>
    <w:rsid w:val="006C6B01"/>
    <w:rsid w:val="006C6D8B"/>
    <w:rsid w:val="006C7D29"/>
    <w:rsid w:val="006D165F"/>
    <w:rsid w:val="006D386A"/>
    <w:rsid w:val="006D3A9B"/>
    <w:rsid w:val="006D5376"/>
    <w:rsid w:val="006D70D8"/>
    <w:rsid w:val="006E0638"/>
    <w:rsid w:val="006E1E8E"/>
    <w:rsid w:val="006E48F3"/>
    <w:rsid w:val="006E6AF8"/>
    <w:rsid w:val="006E6B17"/>
    <w:rsid w:val="006E6E42"/>
    <w:rsid w:val="006E7573"/>
    <w:rsid w:val="006F1871"/>
    <w:rsid w:val="006F239B"/>
    <w:rsid w:val="006F2AB2"/>
    <w:rsid w:val="006F3636"/>
    <w:rsid w:val="006F5034"/>
    <w:rsid w:val="006F5101"/>
    <w:rsid w:val="006F72AB"/>
    <w:rsid w:val="00700E38"/>
    <w:rsid w:val="00701468"/>
    <w:rsid w:val="00702C8E"/>
    <w:rsid w:val="00702E7F"/>
    <w:rsid w:val="00706551"/>
    <w:rsid w:val="00706999"/>
    <w:rsid w:val="00707BDD"/>
    <w:rsid w:val="007103F0"/>
    <w:rsid w:val="00712E76"/>
    <w:rsid w:val="00713DD5"/>
    <w:rsid w:val="00714A87"/>
    <w:rsid w:val="0071645B"/>
    <w:rsid w:val="00717FC1"/>
    <w:rsid w:val="00720D2E"/>
    <w:rsid w:val="007213AD"/>
    <w:rsid w:val="007224F2"/>
    <w:rsid w:val="007238CA"/>
    <w:rsid w:val="0072421B"/>
    <w:rsid w:val="00724368"/>
    <w:rsid w:val="007252FC"/>
    <w:rsid w:val="00726AF4"/>
    <w:rsid w:val="00730BD7"/>
    <w:rsid w:val="0073187F"/>
    <w:rsid w:val="00733BCC"/>
    <w:rsid w:val="00733EF9"/>
    <w:rsid w:val="0073497B"/>
    <w:rsid w:val="00734D90"/>
    <w:rsid w:val="00735ACF"/>
    <w:rsid w:val="00735D6A"/>
    <w:rsid w:val="00736D23"/>
    <w:rsid w:val="00740436"/>
    <w:rsid w:val="00740E3F"/>
    <w:rsid w:val="00741FD9"/>
    <w:rsid w:val="007447EA"/>
    <w:rsid w:val="00745083"/>
    <w:rsid w:val="0074789B"/>
    <w:rsid w:val="0075180A"/>
    <w:rsid w:val="0075253A"/>
    <w:rsid w:val="007532C0"/>
    <w:rsid w:val="00753E50"/>
    <w:rsid w:val="00753F6A"/>
    <w:rsid w:val="0075482F"/>
    <w:rsid w:val="00754E89"/>
    <w:rsid w:val="007555D6"/>
    <w:rsid w:val="00756E71"/>
    <w:rsid w:val="00757A83"/>
    <w:rsid w:val="00760E71"/>
    <w:rsid w:val="007619E9"/>
    <w:rsid w:val="00761EE8"/>
    <w:rsid w:val="00764B08"/>
    <w:rsid w:val="00765F88"/>
    <w:rsid w:val="00767E70"/>
    <w:rsid w:val="00771F4A"/>
    <w:rsid w:val="007721A3"/>
    <w:rsid w:val="00777BE7"/>
    <w:rsid w:val="00780012"/>
    <w:rsid w:val="007821A9"/>
    <w:rsid w:val="0078485C"/>
    <w:rsid w:val="00784D6A"/>
    <w:rsid w:val="0078594F"/>
    <w:rsid w:val="00791DD3"/>
    <w:rsid w:val="00792A11"/>
    <w:rsid w:val="00793708"/>
    <w:rsid w:val="00794E19"/>
    <w:rsid w:val="00796ACC"/>
    <w:rsid w:val="00796E8E"/>
    <w:rsid w:val="007A06FA"/>
    <w:rsid w:val="007A2E90"/>
    <w:rsid w:val="007A337A"/>
    <w:rsid w:val="007A3795"/>
    <w:rsid w:val="007A37D5"/>
    <w:rsid w:val="007A4112"/>
    <w:rsid w:val="007A4946"/>
    <w:rsid w:val="007A5CDE"/>
    <w:rsid w:val="007A73E5"/>
    <w:rsid w:val="007A78D8"/>
    <w:rsid w:val="007B1346"/>
    <w:rsid w:val="007B1A48"/>
    <w:rsid w:val="007B216C"/>
    <w:rsid w:val="007B29DB"/>
    <w:rsid w:val="007B30F3"/>
    <w:rsid w:val="007B35BB"/>
    <w:rsid w:val="007B4C26"/>
    <w:rsid w:val="007C1040"/>
    <w:rsid w:val="007C241E"/>
    <w:rsid w:val="007C3F2D"/>
    <w:rsid w:val="007C482A"/>
    <w:rsid w:val="007C5DFC"/>
    <w:rsid w:val="007C6724"/>
    <w:rsid w:val="007C67AF"/>
    <w:rsid w:val="007C7BF6"/>
    <w:rsid w:val="007D010F"/>
    <w:rsid w:val="007D0112"/>
    <w:rsid w:val="007D08FB"/>
    <w:rsid w:val="007D0C38"/>
    <w:rsid w:val="007D1195"/>
    <w:rsid w:val="007D3197"/>
    <w:rsid w:val="007D3664"/>
    <w:rsid w:val="007D3D40"/>
    <w:rsid w:val="007D4738"/>
    <w:rsid w:val="007E090D"/>
    <w:rsid w:val="007E09C3"/>
    <w:rsid w:val="007E1EC0"/>
    <w:rsid w:val="007E20EA"/>
    <w:rsid w:val="007E3E84"/>
    <w:rsid w:val="007E4FE9"/>
    <w:rsid w:val="007E501E"/>
    <w:rsid w:val="007E5262"/>
    <w:rsid w:val="007E79A3"/>
    <w:rsid w:val="007E7C78"/>
    <w:rsid w:val="007F1162"/>
    <w:rsid w:val="007F23C7"/>
    <w:rsid w:val="007F2F98"/>
    <w:rsid w:val="007F3383"/>
    <w:rsid w:val="007F4DD6"/>
    <w:rsid w:val="007F5000"/>
    <w:rsid w:val="007F5C0A"/>
    <w:rsid w:val="007F5C8D"/>
    <w:rsid w:val="007F6B8E"/>
    <w:rsid w:val="008001B0"/>
    <w:rsid w:val="008003E2"/>
    <w:rsid w:val="00800A32"/>
    <w:rsid w:val="00800F04"/>
    <w:rsid w:val="00804E9F"/>
    <w:rsid w:val="008063AE"/>
    <w:rsid w:val="00810153"/>
    <w:rsid w:val="00810234"/>
    <w:rsid w:val="0081045B"/>
    <w:rsid w:val="0081066B"/>
    <w:rsid w:val="00810EDB"/>
    <w:rsid w:val="00812CF5"/>
    <w:rsid w:val="008143FB"/>
    <w:rsid w:val="008149AA"/>
    <w:rsid w:val="00814BB5"/>
    <w:rsid w:val="00814C09"/>
    <w:rsid w:val="00816000"/>
    <w:rsid w:val="00817472"/>
    <w:rsid w:val="00821303"/>
    <w:rsid w:val="00822CD0"/>
    <w:rsid w:val="00822D39"/>
    <w:rsid w:val="008231EE"/>
    <w:rsid w:val="00823DB2"/>
    <w:rsid w:val="00827BBE"/>
    <w:rsid w:val="0083070D"/>
    <w:rsid w:val="0083104C"/>
    <w:rsid w:val="00831871"/>
    <w:rsid w:val="00831D7F"/>
    <w:rsid w:val="0083259B"/>
    <w:rsid w:val="00832626"/>
    <w:rsid w:val="00832B0A"/>
    <w:rsid w:val="00836222"/>
    <w:rsid w:val="008366B7"/>
    <w:rsid w:val="00840D45"/>
    <w:rsid w:val="008418A7"/>
    <w:rsid w:val="008418EE"/>
    <w:rsid w:val="00841D88"/>
    <w:rsid w:val="00842B2A"/>
    <w:rsid w:val="0084354F"/>
    <w:rsid w:val="00843840"/>
    <w:rsid w:val="00844A62"/>
    <w:rsid w:val="00847C70"/>
    <w:rsid w:val="008515F7"/>
    <w:rsid w:val="008542B5"/>
    <w:rsid w:val="008557AE"/>
    <w:rsid w:val="00855B1C"/>
    <w:rsid w:val="00855B7F"/>
    <w:rsid w:val="008564B5"/>
    <w:rsid w:val="008578D9"/>
    <w:rsid w:val="00860DFE"/>
    <w:rsid w:val="00862EED"/>
    <w:rsid w:val="00863A83"/>
    <w:rsid w:val="008675E6"/>
    <w:rsid w:val="00867EF9"/>
    <w:rsid w:val="008705CA"/>
    <w:rsid w:val="00871DC6"/>
    <w:rsid w:val="00872B66"/>
    <w:rsid w:val="00876190"/>
    <w:rsid w:val="008801BE"/>
    <w:rsid w:val="00880526"/>
    <w:rsid w:val="00883E35"/>
    <w:rsid w:val="008868A1"/>
    <w:rsid w:val="0088759B"/>
    <w:rsid w:val="00887FE9"/>
    <w:rsid w:val="00894344"/>
    <w:rsid w:val="00895EA7"/>
    <w:rsid w:val="0089656C"/>
    <w:rsid w:val="008967D5"/>
    <w:rsid w:val="008A05E6"/>
    <w:rsid w:val="008A1609"/>
    <w:rsid w:val="008A1BA8"/>
    <w:rsid w:val="008A1DB2"/>
    <w:rsid w:val="008A26F1"/>
    <w:rsid w:val="008A2E31"/>
    <w:rsid w:val="008A6DEB"/>
    <w:rsid w:val="008A7AB7"/>
    <w:rsid w:val="008A7D0A"/>
    <w:rsid w:val="008B01BA"/>
    <w:rsid w:val="008B102C"/>
    <w:rsid w:val="008B2D4A"/>
    <w:rsid w:val="008B4B96"/>
    <w:rsid w:val="008B4E86"/>
    <w:rsid w:val="008B55AB"/>
    <w:rsid w:val="008B5943"/>
    <w:rsid w:val="008B6C7F"/>
    <w:rsid w:val="008C067C"/>
    <w:rsid w:val="008C0FB3"/>
    <w:rsid w:val="008C1409"/>
    <w:rsid w:val="008C324F"/>
    <w:rsid w:val="008C3491"/>
    <w:rsid w:val="008C35E0"/>
    <w:rsid w:val="008C4109"/>
    <w:rsid w:val="008C4872"/>
    <w:rsid w:val="008C4A80"/>
    <w:rsid w:val="008C536B"/>
    <w:rsid w:val="008C6E70"/>
    <w:rsid w:val="008C7DDF"/>
    <w:rsid w:val="008C7DF6"/>
    <w:rsid w:val="008D0DF1"/>
    <w:rsid w:val="008D241B"/>
    <w:rsid w:val="008D4C9F"/>
    <w:rsid w:val="008D5A25"/>
    <w:rsid w:val="008D5EC9"/>
    <w:rsid w:val="008D6C44"/>
    <w:rsid w:val="008D6FA8"/>
    <w:rsid w:val="008D787D"/>
    <w:rsid w:val="008D7E74"/>
    <w:rsid w:val="008E1581"/>
    <w:rsid w:val="008E1890"/>
    <w:rsid w:val="008E5354"/>
    <w:rsid w:val="008E5FD4"/>
    <w:rsid w:val="008E614B"/>
    <w:rsid w:val="008F0239"/>
    <w:rsid w:val="008F04AC"/>
    <w:rsid w:val="008F209E"/>
    <w:rsid w:val="008F28CC"/>
    <w:rsid w:val="008F2CFC"/>
    <w:rsid w:val="008F3173"/>
    <w:rsid w:val="008F5571"/>
    <w:rsid w:val="008F5B12"/>
    <w:rsid w:val="008F6B60"/>
    <w:rsid w:val="008F6DE2"/>
    <w:rsid w:val="008F6F5B"/>
    <w:rsid w:val="008F74BA"/>
    <w:rsid w:val="00900EE1"/>
    <w:rsid w:val="00902518"/>
    <w:rsid w:val="00902CB6"/>
    <w:rsid w:val="0090519B"/>
    <w:rsid w:val="0090619F"/>
    <w:rsid w:val="0091082F"/>
    <w:rsid w:val="0091279F"/>
    <w:rsid w:val="00912ABA"/>
    <w:rsid w:val="00917890"/>
    <w:rsid w:val="0092008A"/>
    <w:rsid w:val="00920465"/>
    <w:rsid w:val="00920799"/>
    <w:rsid w:val="00920EAD"/>
    <w:rsid w:val="0092173B"/>
    <w:rsid w:val="00922E40"/>
    <w:rsid w:val="009236C8"/>
    <w:rsid w:val="00923998"/>
    <w:rsid w:val="00923E47"/>
    <w:rsid w:val="0092765F"/>
    <w:rsid w:val="00930930"/>
    <w:rsid w:val="00930950"/>
    <w:rsid w:val="00930AB4"/>
    <w:rsid w:val="00930C92"/>
    <w:rsid w:val="00930FEE"/>
    <w:rsid w:val="009327B3"/>
    <w:rsid w:val="00932FB3"/>
    <w:rsid w:val="0093663E"/>
    <w:rsid w:val="00937789"/>
    <w:rsid w:val="0094070A"/>
    <w:rsid w:val="00940E61"/>
    <w:rsid w:val="00941B4A"/>
    <w:rsid w:val="00941F55"/>
    <w:rsid w:val="0094233F"/>
    <w:rsid w:val="00942D41"/>
    <w:rsid w:val="00943374"/>
    <w:rsid w:val="00943F5D"/>
    <w:rsid w:val="00945EB2"/>
    <w:rsid w:val="00946ADC"/>
    <w:rsid w:val="0095090A"/>
    <w:rsid w:val="00950F09"/>
    <w:rsid w:val="009510AC"/>
    <w:rsid w:val="009516A5"/>
    <w:rsid w:val="0095268A"/>
    <w:rsid w:val="0095378D"/>
    <w:rsid w:val="00953DF4"/>
    <w:rsid w:val="009542C8"/>
    <w:rsid w:val="0095464B"/>
    <w:rsid w:val="009575E2"/>
    <w:rsid w:val="00962451"/>
    <w:rsid w:val="00964600"/>
    <w:rsid w:val="00965589"/>
    <w:rsid w:val="009656BE"/>
    <w:rsid w:val="0096691C"/>
    <w:rsid w:val="0097102D"/>
    <w:rsid w:val="0097389C"/>
    <w:rsid w:val="00975A55"/>
    <w:rsid w:val="009770FA"/>
    <w:rsid w:val="00980E20"/>
    <w:rsid w:val="00981989"/>
    <w:rsid w:val="0098430A"/>
    <w:rsid w:val="0098433B"/>
    <w:rsid w:val="0098542C"/>
    <w:rsid w:val="00986AD0"/>
    <w:rsid w:val="00987045"/>
    <w:rsid w:val="0098731C"/>
    <w:rsid w:val="00987509"/>
    <w:rsid w:val="009877ED"/>
    <w:rsid w:val="00990213"/>
    <w:rsid w:val="00990E78"/>
    <w:rsid w:val="00993596"/>
    <w:rsid w:val="0099427A"/>
    <w:rsid w:val="009943B2"/>
    <w:rsid w:val="00994E9A"/>
    <w:rsid w:val="009951E0"/>
    <w:rsid w:val="00995E93"/>
    <w:rsid w:val="00996C71"/>
    <w:rsid w:val="00996DAC"/>
    <w:rsid w:val="009A043E"/>
    <w:rsid w:val="009A1057"/>
    <w:rsid w:val="009A3D47"/>
    <w:rsid w:val="009A3F52"/>
    <w:rsid w:val="009A43A4"/>
    <w:rsid w:val="009A4837"/>
    <w:rsid w:val="009A676B"/>
    <w:rsid w:val="009A6BBB"/>
    <w:rsid w:val="009A6FF9"/>
    <w:rsid w:val="009A72E4"/>
    <w:rsid w:val="009B0BB9"/>
    <w:rsid w:val="009B11C9"/>
    <w:rsid w:val="009B347B"/>
    <w:rsid w:val="009B5035"/>
    <w:rsid w:val="009B6DB0"/>
    <w:rsid w:val="009B7C7A"/>
    <w:rsid w:val="009C1F50"/>
    <w:rsid w:val="009C2CA0"/>
    <w:rsid w:val="009C368E"/>
    <w:rsid w:val="009C3922"/>
    <w:rsid w:val="009C516B"/>
    <w:rsid w:val="009C52F5"/>
    <w:rsid w:val="009C63CE"/>
    <w:rsid w:val="009C677B"/>
    <w:rsid w:val="009C690D"/>
    <w:rsid w:val="009D1511"/>
    <w:rsid w:val="009D28D2"/>
    <w:rsid w:val="009D2AF7"/>
    <w:rsid w:val="009D720D"/>
    <w:rsid w:val="009E018A"/>
    <w:rsid w:val="009E04F7"/>
    <w:rsid w:val="009E11DB"/>
    <w:rsid w:val="009E18A4"/>
    <w:rsid w:val="009E2E5D"/>
    <w:rsid w:val="009E2F9C"/>
    <w:rsid w:val="009E31BA"/>
    <w:rsid w:val="009E3D54"/>
    <w:rsid w:val="009E3E6D"/>
    <w:rsid w:val="009E3E7B"/>
    <w:rsid w:val="009E4828"/>
    <w:rsid w:val="009E64E0"/>
    <w:rsid w:val="009E65F4"/>
    <w:rsid w:val="009F0F1C"/>
    <w:rsid w:val="009F31D8"/>
    <w:rsid w:val="009F3C5E"/>
    <w:rsid w:val="009F664E"/>
    <w:rsid w:val="00A01140"/>
    <w:rsid w:val="00A0398F"/>
    <w:rsid w:val="00A051D2"/>
    <w:rsid w:val="00A058B8"/>
    <w:rsid w:val="00A0622D"/>
    <w:rsid w:val="00A100A7"/>
    <w:rsid w:val="00A12844"/>
    <w:rsid w:val="00A14E73"/>
    <w:rsid w:val="00A15242"/>
    <w:rsid w:val="00A15849"/>
    <w:rsid w:val="00A15AFE"/>
    <w:rsid w:val="00A16102"/>
    <w:rsid w:val="00A16186"/>
    <w:rsid w:val="00A1784C"/>
    <w:rsid w:val="00A17A30"/>
    <w:rsid w:val="00A205D3"/>
    <w:rsid w:val="00A2241C"/>
    <w:rsid w:val="00A24A69"/>
    <w:rsid w:val="00A25874"/>
    <w:rsid w:val="00A26273"/>
    <w:rsid w:val="00A26780"/>
    <w:rsid w:val="00A26C3F"/>
    <w:rsid w:val="00A26C6C"/>
    <w:rsid w:val="00A26D7A"/>
    <w:rsid w:val="00A26DC8"/>
    <w:rsid w:val="00A2733C"/>
    <w:rsid w:val="00A30E5C"/>
    <w:rsid w:val="00A317A5"/>
    <w:rsid w:val="00A34FEC"/>
    <w:rsid w:val="00A35AAE"/>
    <w:rsid w:val="00A36694"/>
    <w:rsid w:val="00A43AB4"/>
    <w:rsid w:val="00A440DE"/>
    <w:rsid w:val="00A46A13"/>
    <w:rsid w:val="00A46A37"/>
    <w:rsid w:val="00A46F09"/>
    <w:rsid w:val="00A47120"/>
    <w:rsid w:val="00A47306"/>
    <w:rsid w:val="00A5027E"/>
    <w:rsid w:val="00A505CF"/>
    <w:rsid w:val="00A51388"/>
    <w:rsid w:val="00A51612"/>
    <w:rsid w:val="00A518A2"/>
    <w:rsid w:val="00A518E7"/>
    <w:rsid w:val="00A52051"/>
    <w:rsid w:val="00A53C0A"/>
    <w:rsid w:val="00A56533"/>
    <w:rsid w:val="00A5778D"/>
    <w:rsid w:val="00A579D7"/>
    <w:rsid w:val="00A60696"/>
    <w:rsid w:val="00A60A48"/>
    <w:rsid w:val="00A61C9B"/>
    <w:rsid w:val="00A61E66"/>
    <w:rsid w:val="00A63C23"/>
    <w:rsid w:val="00A64C2C"/>
    <w:rsid w:val="00A64DD8"/>
    <w:rsid w:val="00A6604A"/>
    <w:rsid w:val="00A67FD3"/>
    <w:rsid w:val="00A7119C"/>
    <w:rsid w:val="00A72808"/>
    <w:rsid w:val="00A73977"/>
    <w:rsid w:val="00A740B1"/>
    <w:rsid w:val="00A7517C"/>
    <w:rsid w:val="00A76FDD"/>
    <w:rsid w:val="00A80F1A"/>
    <w:rsid w:val="00A81770"/>
    <w:rsid w:val="00A8249F"/>
    <w:rsid w:val="00A849A6"/>
    <w:rsid w:val="00A8519D"/>
    <w:rsid w:val="00A85D57"/>
    <w:rsid w:val="00A86ACA"/>
    <w:rsid w:val="00A87EAE"/>
    <w:rsid w:val="00A90B50"/>
    <w:rsid w:val="00A9271B"/>
    <w:rsid w:val="00A94FAB"/>
    <w:rsid w:val="00A9723C"/>
    <w:rsid w:val="00A97C37"/>
    <w:rsid w:val="00AA1EF3"/>
    <w:rsid w:val="00AA2C77"/>
    <w:rsid w:val="00AA2CB7"/>
    <w:rsid w:val="00AA3149"/>
    <w:rsid w:val="00AA4B36"/>
    <w:rsid w:val="00AA7317"/>
    <w:rsid w:val="00AB1183"/>
    <w:rsid w:val="00AB2FCD"/>
    <w:rsid w:val="00AB3C8A"/>
    <w:rsid w:val="00AB4F61"/>
    <w:rsid w:val="00AB6237"/>
    <w:rsid w:val="00AB6D3A"/>
    <w:rsid w:val="00AB74B5"/>
    <w:rsid w:val="00AB79AD"/>
    <w:rsid w:val="00AC1C39"/>
    <w:rsid w:val="00AC1EC1"/>
    <w:rsid w:val="00AC2C2A"/>
    <w:rsid w:val="00AC4B2E"/>
    <w:rsid w:val="00AC5493"/>
    <w:rsid w:val="00AD0B8D"/>
    <w:rsid w:val="00AD207D"/>
    <w:rsid w:val="00AD320B"/>
    <w:rsid w:val="00AD3522"/>
    <w:rsid w:val="00AD37DC"/>
    <w:rsid w:val="00AD5A66"/>
    <w:rsid w:val="00AD77F0"/>
    <w:rsid w:val="00AE16E7"/>
    <w:rsid w:val="00AE2732"/>
    <w:rsid w:val="00AE2823"/>
    <w:rsid w:val="00AE4572"/>
    <w:rsid w:val="00AE5889"/>
    <w:rsid w:val="00AE5C43"/>
    <w:rsid w:val="00AF0688"/>
    <w:rsid w:val="00AF357D"/>
    <w:rsid w:val="00AF3AFD"/>
    <w:rsid w:val="00AF4B10"/>
    <w:rsid w:val="00AF6719"/>
    <w:rsid w:val="00AF6E21"/>
    <w:rsid w:val="00AF7DAD"/>
    <w:rsid w:val="00B05807"/>
    <w:rsid w:val="00B07A17"/>
    <w:rsid w:val="00B07A4D"/>
    <w:rsid w:val="00B10CF0"/>
    <w:rsid w:val="00B1494E"/>
    <w:rsid w:val="00B15D65"/>
    <w:rsid w:val="00B167EC"/>
    <w:rsid w:val="00B20658"/>
    <w:rsid w:val="00B2088F"/>
    <w:rsid w:val="00B20D46"/>
    <w:rsid w:val="00B22DF6"/>
    <w:rsid w:val="00B25C40"/>
    <w:rsid w:val="00B2765E"/>
    <w:rsid w:val="00B27B67"/>
    <w:rsid w:val="00B27DB5"/>
    <w:rsid w:val="00B30677"/>
    <w:rsid w:val="00B343EF"/>
    <w:rsid w:val="00B40098"/>
    <w:rsid w:val="00B43341"/>
    <w:rsid w:val="00B43A4C"/>
    <w:rsid w:val="00B44C36"/>
    <w:rsid w:val="00B454B8"/>
    <w:rsid w:val="00B45CFB"/>
    <w:rsid w:val="00B46329"/>
    <w:rsid w:val="00B4640C"/>
    <w:rsid w:val="00B46A37"/>
    <w:rsid w:val="00B501A4"/>
    <w:rsid w:val="00B50476"/>
    <w:rsid w:val="00B51301"/>
    <w:rsid w:val="00B51FA2"/>
    <w:rsid w:val="00B52671"/>
    <w:rsid w:val="00B53976"/>
    <w:rsid w:val="00B54762"/>
    <w:rsid w:val="00B55AAE"/>
    <w:rsid w:val="00B56B18"/>
    <w:rsid w:val="00B57ACD"/>
    <w:rsid w:val="00B61972"/>
    <w:rsid w:val="00B64149"/>
    <w:rsid w:val="00B6664A"/>
    <w:rsid w:val="00B724D3"/>
    <w:rsid w:val="00B72843"/>
    <w:rsid w:val="00B72C84"/>
    <w:rsid w:val="00B730D7"/>
    <w:rsid w:val="00B74816"/>
    <w:rsid w:val="00B76673"/>
    <w:rsid w:val="00B77EDF"/>
    <w:rsid w:val="00B81F38"/>
    <w:rsid w:val="00B84473"/>
    <w:rsid w:val="00B8740F"/>
    <w:rsid w:val="00B87680"/>
    <w:rsid w:val="00B90010"/>
    <w:rsid w:val="00B90A89"/>
    <w:rsid w:val="00B9174B"/>
    <w:rsid w:val="00B929FF"/>
    <w:rsid w:val="00B9352B"/>
    <w:rsid w:val="00B93607"/>
    <w:rsid w:val="00B9403F"/>
    <w:rsid w:val="00B95DEA"/>
    <w:rsid w:val="00B96812"/>
    <w:rsid w:val="00B97CE0"/>
    <w:rsid w:val="00BA0BE0"/>
    <w:rsid w:val="00BA14F4"/>
    <w:rsid w:val="00BA17E1"/>
    <w:rsid w:val="00BA2A91"/>
    <w:rsid w:val="00BA3D16"/>
    <w:rsid w:val="00BA496C"/>
    <w:rsid w:val="00BA5B3A"/>
    <w:rsid w:val="00BA6334"/>
    <w:rsid w:val="00BB00F6"/>
    <w:rsid w:val="00BB0406"/>
    <w:rsid w:val="00BB1933"/>
    <w:rsid w:val="00BB1C8E"/>
    <w:rsid w:val="00BB24C5"/>
    <w:rsid w:val="00BB2FE5"/>
    <w:rsid w:val="00BB32EA"/>
    <w:rsid w:val="00BB54BC"/>
    <w:rsid w:val="00BB58ED"/>
    <w:rsid w:val="00BB6113"/>
    <w:rsid w:val="00BB687E"/>
    <w:rsid w:val="00BB6EBD"/>
    <w:rsid w:val="00BC0ABA"/>
    <w:rsid w:val="00BC0FD1"/>
    <w:rsid w:val="00BC1A3B"/>
    <w:rsid w:val="00BC2090"/>
    <w:rsid w:val="00BC6417"/>
    <w:rsid w:val="00BD0EF2"/>
    <w:rsid w:val="00BD116F"/>
    <w:rsid w:val="00BD3E2A"/>
    <w:rsid w:val="00BD4B2E"/>
    <w:rsid w:val="00BD64C7"/>
    <w:rsid w:val="00BD6706"/>
    <w:rsid w:val="00BD6D6D"/>
    <w:rsid w:val="00BD74C8"/>
    <w:rsid w:val="00BD7565"/>
    <w:rsid w:val="00BD7B4D"/>
    <w:rsid w:val="00BD7FD7"/>
    <w:rsid w:val="00BE1116"/>
    <w:rsid w:val="00BE153D"/>
    <w:rsid w:val="00BE1635"/>
    <w:rsid w:val="00BE7020"/>
    <w:rsid w:val="00BF0658"/>
    <w:rsid w:val="00BF0C8B"/>
    <w:rsid w:val="00BF1E3C"/>
    <w:rsid w:val="00BF23A3"/>
    <w:rsid w:val="00BF273C"/>
    <w:rsid w:val="00BF3ED9"/>
    <w:rsid w:val="00BF4B4F"/>
    <w:rsid w:val="00BF7A50"/>
    <w:rsid w:val="00C01E97"/>
    <w:rsid w:val="00C0200F"/>
    <w:rsid w:val="00C0305B"/>
    <w:rsid w:val="00C06314"/>
    <w:rsid w:val="00C06A59"/>
    <w:rsid w:val="00C06F90"/>
    <w:rsid w:val="00C11778"/>
    <w:rsid w:val="00C11C6E"/>
    <w:rsid w:val="00C121B4"/>
    <w:rsid w:val="00C1389C"/>
    <w:rsid w:val="00C14FC3"/>
    <w:rsid w:val="00C16B52"/>
    <w:rsid w:val="00C16B65"/>
    <w:rsid w:val="00C16D27"/>
    <w:rsid w:val="00C172A2"/>
    <w:rsid w:val="00C17B0E"/>
    <w:rsid w:val="00C20610"/>
    <w:rsid w:val="00C20DFD"/>
    <w:rsid w:val="00C21438"/>
    <w:rsid w:val="00C21C17"/>
    <w:rsid w:val="00C23906"/>
    <w:rsid w:val="00C248CA"/>
    <w:rsid w:val="00C24D6F"/>
    <w:rsid w:val="00C25BF2"/>
    <w:rsid w:val="00C266FF"/>
    <w:rsid w:val="00C26C80"/>
    <w:rsid w:val="00C277E5"/>
    <w:rsid w:val="00C27D06"/>
    <w:rsid w:val="00C31442"/>
    <w:rsid w:val="00C32083"/>
    <w:rsid w:val="00C32740"/>
    <w:rsid w:val="00C32B8A"/>
    <w:rsid w:val="00C32BA8"/>
    <w:rsid w:val="00C33299"/>
    <w:rsid w:val="00C36E3C"/>
    <w:rsid w:val="00C3704F"/>
    <w:rsid w:val="00C4061A"/>
    <w:rsid w:val="00C4069F"/>
    <w:rsid w:val="00C40A3B"/>
    <w:rsid w:val="00C42107"/>
    <w:rsid w:val="00C43EFA"/>
    <w:rsid w:val="00C44074"/>
    <w:rsid w:val="00C507FF"/>
    <w:rsid w:val="00C52949"/>
    <w:rsid w:val="00C538D3"/>
    <w:rsid w:val="00C53CD0"/>
    <w:rsid w:val="00C545D6"/>
    <w:rsid w:val="00C547FD"/>
    <w:rsid w:val="00C562A4"/>
    <w:rsid w:val="00C562A5"/>
    <w:rsid w:val="00C601A5"/>
    <w:rsid w:val="00C60494"/>
    <w:rsid w:val="00C622F8"/>
    <w:rsid w:val="00C653D2"/>
    <w:rsid w:val="00C6646F"/>
    <w:rsid w:val="00C669D3"/>
    <w:rsid w:val="00C7046F"/>
    <w:rsid w:val="00C71AE6"/>
    <w:rsid w:val="00C7249F"/>
    <w:rsid w:val="00C72B77"/>
    <w:rsid w:val="00C74642"/>
    <w:rsid w:val="00C74ACA"/>
    <w:rsid w:val="00C77A2C"/>
    <w:rsid w:val="00C8071C"/>
    <w:rsid w:val="00C80A2A"/>
    <w:rsid w:val="00C82753"/>
    <w:rsid w:val="00C849BF"/>
    <w:rsid w:val="00C84AA1"/>
    <w:rsid w:val="00C8525B"/>
    <w:rsid w:val="00C87CC3"/>
    <w:rsid w:val="00C91F52"/>
    <w:rsid w:val="00C91F6F"/>
    <w:rsid w:val="00C931FC"/>
    <w:rsid w:val="00C933A8"/>
    <w:rsid w:val="00C94518"/>
    <w:rsid w:val="00C95246"/>
    <w:rsid w:val="00C953C4"/>
    <w:rsid w:val="00C95615"/>
    <w:rsid w:val="00C960D3"/>
    <w:rsid w:val="00C969BB"/>
    <w:rsid w:val="00C974F3"/>
    <w:rsid w:val="00C97D90"/>
    <w:rsid w:val="00CA066D"/>
    <w:rsid w:val="00CA2CF8"/>
    <w:rsid w:val="00CA4748"/>
    <w:rsid w:val="00CA4FD7"/>
    <w:rsid w:val="00CA5CED"/>
    <w:rsid w:val="00CA75AC"/>
    <w:rsid w:val="00CA78EE"/>
    <w:rsid w:val="00CA7CF1"/>
    <w:rsid w:val="00CB2098"/>
    <w:rsid w:val="00CB34AE"/>
    <w:rsid w:val="00CB3CB5"/>
    <w:rsid w:val="00CB48AE"/>
    <w:rsid w:val="00CB4DF3"/>
    <w:rsid w:val="00CB5DC0"/>
    <w:rsid w:val="00CB667E"/>
    <w:rsid w:val="00CB699D"/>
    <w:rsid w:val="00CB7D90"/>
    <w:rsid w:val="00CC10A8"/>
    <w:rsid w:val="00CC170E"/>
    <w:rsid w:val="00CC2849"/>
    <w:rsid w:val="00CC4575"/>
    <w:rsid w:val="00CC4E8D"/>
    <w:rsid w:val="00CC7CD9"/>
    <w:rsid w:val="00CC7F4D"/>
    <w:rsid w:val="00CD16B3"/>
    <w:rsid w:val="00CD2EA9"/>
    <w:rsid w:val="00CD3035"/>
    <w:rsid w:val="00CD3705"/>
    <w:rsid w:val="00CD386E"/>
    <w:rsid w:val="00CD549F"/>
    <w:rsid w:val="00CD6CAC"/>
    <w:rsid w:val="00CD777C"/>
    <w:rsid w:val="00CE29DF"/>
    <w:rsid w:val="00CE38AC"/>
    <w:rsid w:val="00CE50D6"/>
    <w:rsid w:val="00CE6E49"/>
    <w:rsid w:val="00CF049A"/>
    <w:rsid w:val="00CF1F89"/>
    <w:rsid w:val="00CF2DD9"/>
    <w:rsid w:val="00CF331A"/>
    <w:rsid w:val="00CF3384"/>
    <w:rsid w:val="00CF3A3F"/>
    <w:rsid w:val="00CF4116"/>
    <w:rsid w:val="00CF6471"/>
    <w:rsid w:val="00CF65A5"/>
    <w:rsid w:val="00CF73DA"/>
    <w:rsid w:val="00CF7D38"/>
    <w:rsid w:val="00D00789"/>
    <w:rsid w:val="00D01322"/>
    <w:rsid w:val="00D02532"/>
    <w:rsid w:val="00D04914"/>
    <w:rsid w:val="00D06477"/>
    <w:rsid w:val="00D0713C"/>
    <w:rsid w:val="00D07B98"/>
    <w:rsid w:val="00D10D6A"/>
    <w:rsid w:val="00D131CF"/>
    <w:rsid w:val="00D14701"/>
    <w:rsid w:val="00D1623B"/>
    <w:rsid w:val="00D17E34"/>
    <w:rsid w:val="00D21AA8"/>
    <w:rsid w:val="00D226E1"/>
    <w:rsid w:val="00D234BC"/>
    <w:rsid w:val="00D23B99"/>
    <w:rsid w:val="00D2468B"/>
    <w:rsid w:val="00D258CB"/>
    <w:rsid w:val="00D27532"/>
    <w:rsid w:val="00D27C50"/>
    <w:rsid w:val="00D3142B"/>
    <w:rsid w:val="00D330D5"/>
    <w:rsid w:val="00D34124"/>
    <w:rsid w:val="00D35BBB"/>
    <w:rsid w:val="00D36F39"/>
    <w:rsid w:val="00D40BC9"/>
    <w:rsid w:val="00D41CE1"/>
    <w:rsid w:val="00D4242E"/>
    <w:rsid w:val="00D42453"/>
    <w:rsid w:val="00D42928"/>
    <w:rsid w:val="00D43B4E"/>
    <w:rsid w:val="00D460CA"/>
    <w:rsid w:val="00D50DB6"/>
    <w:rsid w:val="00D5158A"/>
    <w:rsid w:val="00D51AFB"/>
    <w:rsid w:val="00D51D04"/>
    <w:rsid w:val="00D57D5B"/>
    <w:rsid w:val="00D62F8E"/>
    <w:rsid w:val="00D63126"/>
    <w:rsid w:val="00D650AF"/>
    <w:rsid w:val="00D65918"/>
    <w:rsid w:val="00D66CC2"/>
    <w:rsid w:val="00D706A7"/>
    <w:rsid w:val="00D70C18"/>
    <w:rsid w:val="00D70EA0"/>
    <w:rsid w:val="00D7367A"/>
    <w:rsid w:val="00D7407A"/>
    <w:rsid w:val="00D75789"/>
    <w:rsid w:val="00D758B9"/>
    <w:rsid w:val="00D76EE1"/>
    <w:rsid w:val="00D815A2"/>
    <w:rsid w:val="00D83863"/>
    <w:rsid w:val="00D84347"/>
    <w:rsid w:val="00D847CF"/>
    <w:rsid w:val="00D84B5C"/>
    <w:rsid w:val="00D850A9"/>
    <w:rsid w:val="00D85B73"/>
    <w:rsid w:val="00D86397"/>
    <w:rsid w:val="00D86446"/>
    <w:rsid w:val="00D8696E"/>
    <w:rsid w:val="00D8728D"/>
    <w:rsid w:val="00D902E6"/>
    <w:rsid w:val="00D90B6F"/>
    <w:rsid w:val="00D91448"/>
    <w:rsid w:val="00D92F64"/>
    <w:rsid w:val="00D939DF"/>
    <w:rsid w:val="00D93D06"/>
    <w:rsid w:val="00D943E9"/>
    <w:rsid w:val="00D9444E"/>
    <w:rsid w:val="00D948AD"/>
    <w:rsid w:val="00D95744"/>
    <w:rsid w:val="00D95E56"/>
    <w:rsid w:val="00D964C3"/>
    <w:rsid w:val="00D96C64"/>
    <w:rsid w:val="00DA0054"/>
    <w:rsid w:val="00DA11EA"/>
    <w:rsid w:val="00DA2237"/>
    <w:rsid w:val="00DA3031"/>
    <w:rsid w:val="00DA4D20"/>
    <w:rsid w:val="00DA516D"/>
    <w:rsid w:val="00DB0E70"/>
    <w:rsid w:val="00DB29E3"/>
    <w:rsid w:val="00DB2D2C"/>
    <w:rsid w:val="00DB2DB0"/>
    <w:rsid w:val="00DB338F"/>
    <w:rsid w:val="00DB3C6E"/>
    <w:rsid w:val="00DB42E6"/>
    <w:rsid w:val="00DB4CC2"/>
    <w:rsid w:val="00DB5AAB"/>
    <w:rsid w:val="00DB5C19"/>
    <w:rsid w:val="00DB7234"/>
    <w:rsid w:val="00DC1E7E"/>
    <w:rsid w:val="00DC26A7"/>
    <w:rsid w:val="00DC2AE5"/>
    <w:rsid w:val="00DC55C8"/>
    <w:rsid w:val="00DC627E"/>
    <w:rsid w:val="00DC75A3"/>
    <w:rsid w:val="00DC7A35"/>
    <w:rsid w:val="00DC7CC7"/>
    <w:rsid w:val="00DD2E16"/>
    <w:rsid w:val="00DD37CB"/>
    <w:rsid w:val="00DD4562"/>
    <w:rsid w:val="00DD5E6F"/>
    <w:rsid w:val="00DE2533"/>
    <w:rsid w:val="00DE2713"/>
    <w:rsid w:val="00DE3E0F"/>
    <w:rsid w:val="00DE5842"/>
    <w:rsid w:val="00DE608B"/>
    <w:rsid w:val="00DE73EB"/>
    <w:rsid w:val="00DF03BA"/>
    <w:rsid w:val="00DF2FEE"/>
    <w:rsid w:val="00DF32A6"/>
    <w:rsid w:val="00DF4700"/>
    <w:rsid w:val="00DF5432"/>
    <w:rsid w:val="00DF72BA"/>
    <w:rsid w:val="00DF7A80"/>
    <w:rsid w:val="00E011B5"/>
    <w:rsid w:val="00E02837"/>
    <w:rsid w:val="00E03470"/>
    <w:rsid w:val="00E04CEF"/>
    <w:rsid w:val="00E112CF"/>
    <w:rsid w:val="00E11EAE"/>
    <w:rsid w:val="00E120DE"/>
    <w:rsid w:val="00E13835"/>
    <w:rsid w:val="00E1411E"/>
    <w:rsid w:val="00E1438C"/>
    <w:rsid w:val="00E14D3C"/>
    <w:rsid w:val="00E15896"/>
    <w:rsid w:val="00E159ED"/>
    <w:rsid w:val="00E15B3F"/>
    <w:rsid w:val="00E161EA"/>
    <w:rsid w:val="00E16CB1"/>
    <w:rsid w:val="00E207DB"/>
    <w:rsid w:val="00E20EC6"/>
    <w:rsid w:val="00E234AE"/>
    <w:rsid w:val="00E2361B"/>
    <w:rsid w:val="00E23BCF"/>
    <w:rsid w:val="00E24D83"/>
    <w:rsid w:val="00E253A7"/>
    <w:rsid w:val="00E33B07"/>
    <w:rsid w:val="00E33D92"/>
    <w:rsid w:val="00E34947"/>
    <w:rsid w:val="00E34B4C"/>
    <w:rsid w:val="00E37867"/>
    <w:rsid w:val="00E405BF"/>
    <w:rsid w:val="00E41E14"/>
    <w:rsid w:val="00E43513"/>
    <w:rsid w:val="00E47EA6"/>
    <w:rsid w:val="00E50266"/>
    <w:rsid w:val="00E50697"/>
    <w:rsid w:val="00E52C4D"/>
    <w:rsid w:val="00E53264"/>
    <w:rsid w:val="00E53EAB"/>
    <w:rsid w:val="00E54662"/>
    <w:rsid w:val="00E6209A"/>
    <w:rsid w:val="00E635B3"/>
    <w:rsid w:val="00E6492D"/>
    <w:rsid w:val="00E658D0"/>
    <w:rsid w:val="00E65DC0"/>
    <w:rsid w:val="00E66CF3"/>
    <w:rsid w:val="00E710A8"/>
    <w:rsid w:val="00E7138C"/>
    <w:rsid w:val="00E71F65"/>
    <w:rsid w:val="00E72CBE"/>
    <w:rsid w:val="00E732AF"/>
    <w:rsid w:val="00E75523"/>
    <w:rsid w:val="00E81F9F"/>
    <w:rsid w:val="00E8216F"/>
    <w:rsid w:val="00E82B94"/>
    <w:rsid w:val="00E83A22"/>
    <w:rsid w:val="00E83CE6"/>
    <w:rsid w:val="00E84649"/>
    <w:rsid w:val="00E84F7A"/>
    <w:rsid w:val="00E8521B"/>
    <w:rsid w:val="00E85ACD"/>
    <w:rsid w:val="00E8658C"/>
    <w:rsid w:val="00E86920"/>
    <w:rsid w:val="00E92BD7"/>
    <w:rsid w:val="00E96075"/>
    <w:rsid w:val="00E96403"/>
    <w:rsid w:val="00EA05BD"/>
    <w:rsid w:val="00EA0F08"/>
    <w:rsid w:val="00EA2800"/>
    <w:rsid w:val="00EA3912"/>
    <w:rsid w:val="00EA3D91"/>
    <w:rsid w:val="00EA483D"/>
    <w:rsid w:val="00EA4EC9"/>
    <w:rsid w:val="00EA5249"/>
    <w:rsid w:val="00EA59CB"/>
    <w:rsid w:val="00EA74B2"/>
    <w:rsid w:val="00EB1316"/>
    <w:rsid w:val="00EB1317"/>
    <w:rsid w:val="00EB20CB"/>
    <w:rsid w:val="00EB278A"/>
    <w:rsid w:val="00EB30B4"/>
    <w:rsid w:val="00EB7241"/>
    <w:rsid w:val="00EC02FC"/>
    <w:rsid w:val="00EC0F54"/>
    <w:rsid w:val="00EC464E"/>
    <w:rsid w:val="00EC4C56"/>
    <w:rsid w:val="00EC64C4"/>
    <w:rsid w:val="00ED041F"/>
    <w:rsid w:val="00ED09B5"/>
    <w:rsid w:val="00ED2F69"/>
    <w:rsid w:val="00ED434A"/>
    <w:rsid w:val="00ED5527"/>
    <w:rsid w:val="00ED5FAE"/>
    <w:rsid w:val="00EE01F7"/>
    <w:rsid w:val="00EE0769"/>
    <w:rsid w:val="00EE1543"/>
    <w:rsid w:val="00EE3071"/>
    <w:rsid w:val="00EE5452"/>
    <w:rsid w:val="00EE6346"/>
    <w:rsid w:val="00EF00BA"/>
    <w:rsid w:val="00EF0B4A"/>
    <w:rsid w:val="00EF11A7"/>
    <w:rsid w:val="00EF1E9B"/>
    <w:rsid w:val="00EF2FE7"/>
    <w:rsid w:val="00EF35A9"/>
    <w:rsid w:val="00EF515F"/>
    <w:rsid w:val="00EF7047"/>
    <w:rsid w:val="00F00ECD"/>
    <w:rsid w:val="00F0233C"/>
    <w:rsid w:val="00F02487"/>
    <w:rsid w:val="00F02C0B"/>
    <w:rsid w:val="00F02FD1"/>
    <w:rsid w:val="00F038F8"/>
    <w:rsid w:val="00F03BAA"/>
    <w:rsid w:val="00F04F6A"/>
    <w:rsid w:val="00F1045E"/>
    <w:rsid w:val="00F1203B"/>
    <w:rsid w:val="00F14597"/>
    <w:rsid w:val="00F15B83"/>
    <w:rsid w:val="00F17432"/>
    <w:rsid w:val="00F175CA"/>
    <w:rsid w:val="00F20848"/>
    <w:rsid w:val="00F21395"/>
    <w:rsid w:val="00F21701"/>
    <w:rsid w:val="00F21C27"/>
    <w:rsid w:val="00F22995"/>
    <w:rsid w:val="00F23057"/>
    <w:rsid w:val="00F2501D"/>
    <w:rsid w:val="00F25120"/>
    <w:rsid w:val="00F25C90"/>
    <w:rsid w:val="00F26FED"/>
    <w:rsid w:val="00F31DAC"/>
    <w:rsid w:val="00F31F6E"/>
    <w:rsid w:val="00F3228C"/>
    <w:rsid w:val="00F32670"/>
    <w:rsid w:val="00F335C5"/>
    <w:rsid w:val="00F343C7"/>
    <w:rsid w:val="00F35AEC"/>
    <w:rsid w:val="00F35F8D"/>
    <w:rsid w:val="00F36537"/>
    <w:rsid w:val="00F369E8"/>
    <w:rsid w:val="00F4012B"/>
    <w:rsid w:val="00F423AA"/>
    <w:rsid w:val="00F42B58"/>
    <w:rsid w:val="00F44464"/>
    <w:rsid w:val="00F446DA"/>
    <w:rsid w:val="00F45C80"/>
    <w:rsid w:val="00F47A91"/>
    <w:rsid w:val="00F51C33"/>
    <w:rsid w:val="00F529C5"/>
    <w:rsid w:val="00F570D2"/>
    <w:rsid w:val="00F60D31"/>
    <w:rsid w:val="00F60FC0"/>
    <w:rsid w:val="00F63E65"/>
    <w:rsid w:val="00F65B8C"/>
    <w:rsid w:val="00F66F4A"/>
    <w:rsid w:val="00F67177"/>
    <w:rsid w:val="00F7014C"/>
    <w:rsid w:val="00F70E74"/>
    <w:rsid w:val="00F71190"/>
    <w:rsid w:val="00F75389"/>
    <w:rsid w:val="00F77A31"/>
    <w:rsid w:val="00F77AC8"/>
    <w:rsid w:val="00F80392"/>
    <w:rsid w:val="00F819D6"/>
    <w:rsid w:val="00F842CB"/>
    <w:rsid w:val="00F8444B"/>
    <w:rsid w:val="00F91E84"/>
    <w:rsid w:val="00F93FD9"/>
    <w:rsid w:val="00F946FF"/>
    <w:rsid w:val="00F95AA7"/>
    <w:rsid w:val="00F95D1F"/>
    <w:rsid w:val="00F95DB3"/>
    <w:rsid w:val="00F96147"/>
    <w:rsid w:val="00F97EB4"/>
    <w:rsid w:val="00FA21AB"/>
    <w:rsid w:val="00FA296B"/>
    <w:rsid w:val="00FA3003"/>
    <w:rsid w:val="00FA341D"/>
    <w:rsid w:val="00FA588C"/>
    <w:rsid w:val="00FA5C5B"/>
    <w:rsid w:val="00FB022A"/>
    <w:rsid w:val="00FB0996"/>
    <w:rsid w:val="00FB4D28"/>
    <w:rsid w:val="00FC0018"/>
    <w:rsid w:val="00FC099B"/>
    <w:rsid w:val="00FC1131"/>
    <w:rsid w:val="00FC2DE1"/>
    <w:rsid w:val="00FC3EC4"/>
    <w:rsid w:val="00FC550D"/>
    <w:rsid w:val="00FC65DC"/>
    <w:rsid w:val="00FD050D"/>
    <w:rsid w:val="00FD0AA7"/>
    <w:rsid w:val="00FD11FC"/>
    <w:rsid w:val="00FD3613"/>
    <w:rsid w:val="00FD52FD"/>
    <w:rsid w:val="00FD7F62"/>
    <w:rsid w:val="00FE0038"/>
    <w:rsid w:val="00FE0ED3"/>
    <w:rsid w:val="00FE1E37"/>
    <w:rsid w:val="00FE3700"/>
    <w:rsid w:val="00FE3701"/>
    <w:rsid w:val="00FE411F"/>
    <w:rsid w:val="00FE5688"/>
    <w:rsid w:val="00FE58F1"/>
    <w:rsid w:val="00FE6107"/>
    <w:rsid w:val="00FE7551"/>
    <w:rsid w:val="00FF20FE"/>
    <w:rsid w:val="00FF217F"/>
    <w:rsid w:val="00FF335E"/>
    <w:rsid w:val="00FF4372"/>
    <w:rsid w:val="00FF6463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D361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FD3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mbly.coe.int/Main.asp?link=http://assembly.coe.int/ASP/Doc/RefRedirectEN.asp?Doc=Doc.%201200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7150</CharactersWithSpaces>
  <SharedDoc>false</SharedDoc>
  <HLinks>
    <vt:vector size="18" baseType="variant">
      <vt:variant>
        <vt:i4>5111827</vt:i4>
      </vt:variant>
      <vt:variant>
        <vt:i4>12</vt:i4>
      </vt:variant>
      <vt:variant>
        <vt:i4>0</vt:i4>
      </vt:variant>
      <vt:variant>
        <vt:i4>5</vt:i4>
      </vt:variant>
      <vt:variant>
        <vt:lpwstr>http://assembly.coe.int/Main.asp?link=http://assembly.coe.int/ASP/Doc/RefRedirectEN.asp?Doc=Doc.%2012006</vt:lpwstr>
      </vt:variant>
      <vt:variant>
        <vt:lpwstr/>
      </vt:variant>
      <vt:variant>
        <vt:i4>7536726</vt:i4>
      </vt:variant>
      <vt:variant>
        <vt:i4>9</vt:i4>
      </vt:variant>
      <vt:variant>
        <vt:i4>0</vt:i4>
      </vt:variant>
      <vt:variant>
        <vt:i4>5</vt:i4>
      </vt:variant>
      <vt:variant>
        <vt:lpwstr>http://assembly.coe.int/Main.asp?link=/Documents/AdoptedText/ta10/ERES1729.htm</vt:lpwstr>
      </vt:variant>
      <vt:variant>
        <vt:lpwstr>P15_92</vt:lpwstr>
      </vt:variant>
      <vt:variant>
        <vt:i4>7340118</vt:i4>
      </vt:variant>
      <vt:variant>
        <vt:i4>6</vt:i4>
      </vt:variant>
      <vt:variant>
        <vt:i4>0</vt:i4>
      </vt:variant>
      <vt:variant>
        <vt:i4>5</vt:i4>
      </vt:variant>
      <vt:variant>
        <vt:lpwstr>http://assembly.coe.int/Main.asp?link=/Documents/AdoptedText/ta10/ERES1729.htm</vt:lpwstr>
      </vt:variant>
      <vt:variant>
        <vt:lpwstr>P15_91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x4</cp:lastModifiedBy>
  <cp:revision>2</cp:revision>
  <dcterms:created xsi:type="dcterms:W3CDTF">2012-02-02T14:58:00Z</dcterms:created>
  <dcterms:modified xsi:type="dcterms:W3CDTF">2012-02-02T14:58:00Z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